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851C" w14:textId="77777777" w:rsidR="00E532D0" w:rsidRDefault="00E532D0" w:rsidP="008C3DE8">
      <w:pPr>
        <w:rPr>
          <w:rFonts w:eastAsia="Arial" w:cs="Arial"/>
          <w:szCs w:val="20"/>
          <w:bdr w:val="nil"/>
          <w:lang w:val="nl-BE"/>
        </w:rPr>
      </w:pPr>
    </w:p>
    <w:p w14:paraId="5D7CA9C0" w14:textId="01A84BAB" w:rsidR="00B04F20" w:rsidRPr="008B6BC3" w:rsidRDefault="00774E25" w:rsidP="008C3DE8">
      <w:pPr>
        <w:rPr>
          <w:lang w:val="nl-BE"/>
        </w:rPr>
      </w:pPr>
      <w:r>
        <w:rPr>
          <w:rFonts w:eastAsia="Arial" w:cs="Arial"/>
          <w:szCs w:val="20"/>
          <w:bdr w:val="nil"/>
          <w:lang w:val="nl-BE"/>
        </w:rPr>
        <w:t>Aangetekende zending (+ gewone zending)</w:t>
      </w:r>
    </w:p>
    <w:p w14:paraId="1289172D" w14:textId="77777777" w:rsidR="006C5D8D" w:rsidRPr="008B6BC3" w:rsidRDefault="00774E25" w:rsidP="00B04F20">
      <w:pPr>
        <w:tabs>
          <w:tab w:val="left" w:pos="0"/>
        </w:tabs>
        <w:rPr>
          <w:lang w:val="nl-BE"/>
        </w:rPr>
      </w:pPr>
      <w:r>
        <w:rPr>
          <w:rFonts w:eastAsia="Arial" w:cs="Arial"/>
          <w:szCs w:val="20"/>
          <w:bdr w:val="nil"/>
          <w:lang w:val="nl-BE"/>
        </w:rPr>
        <w:t xml:space="preserve">BIJLAGEN </w:t>
      </w:r>
      <w:r>
        <w:rPr>
          <w:rFonts w:eastAsia="Arial" w:cs="Arial"/>
          <w:szCs w:val="20"/>
          <w:bdr w:val="nil"/>
          <w:lang w:val="nl-BE"/>
        </w:rPr>
        <w:tab/>
        <w:t>Brief van DD.MM.JJJJ (overeenkomst tot overname in openbaar beheer)</w:t>
      </w:r>
      <w:r>
        <w:rPr>
          <w:rFonts w:eastAsia="Arial" w:cs="Arial"/>
          <w:szCs w:val="20"/>
          <w:bdr w:val="nil"/>
          <w:lang w:val="nl-BE"/>
        </w:rPr>
        <w:br/>
      </w:r>
      <w:r>
        <w:rPr>
          <w:rFonts w:eastAsia="Arial" w:cs="Arial"/>
          <w:szCs w:val="20"/>
          <w:bdr w:val="nil"/>
          <w:lang w:val="nl-BE"/>
        </w:rPr>
        <w:tab/>
      </w:r>
      <w:r>
        <w:rPr>
          <w:rFonts w:eastAsia="Arial" w:cs="Arial"/>
          <w:szCs w:val="20"/>
          <w:bdr w:val="nil"/>
          <w:lang w:val="nl-BE"/>
        </w:rPr>
        <w:tab/>
        <w:t>Uittreksel uit de Huisvestingscode</w:t>
      </w:r>
      <w:r>
        <w:rPr>
          <w:rFonts w:eastAsia="Arial" w:cs="Arial"/>
          <w:szCs w:val="20"/>
          <w:bdr w:val="nil"/>
          <w:lang w:val="nl-BE"/>
        </w:rPr>
        <w:tab/>
      </w:r>
    </w:p>
    <w:p w14:paraId="304AC675" w14:textId="77777777" w:rsidR="006C5D8D" w:rsidRPr="008B6BC3" w:rsidRDefault="00774E25" w:rsidP="003A2D30">
      <w:pPr>
        <w:tabs>
          <w:tab w:val="left" w:pos="0"/>
        </w:tabs>
        <w:ind w:right="-710"/>
        <w:jc w:val="center"/>
        <w:rPr>
          <w:b/>
          <w:sz w:val="22"/>
          <w:szCs w:val="24"/>
          <w:lang w:val="nl-BE"/>
        </w:rPr>
      </w:pPr>
      <w:r>
        <w:rPr>
          <w:rFonts w:eastAsia="Arial" w:cs="Arial"/>
          <w:b/>
          <w:bCs/>
          <w:sz w:val="22"/>
          <w:bdr w:val="nil"/>
          <w:lang w:val="nl-BE"/>
        </w:rPr>
        <w:br/>
        <w:t>INGEBREKESTELLING</w:t>
      </w:r>
    </w:p>
    <w:p w14:paraId="3FAC3751" w14:textId="77777777" w:rsidR="003A2D30" w:rsidRPr="008B6BC3" w:rsidRDefault="003A2D30" w:rsidP="003A2D30">
      <w:pPr>
        <w:tabs>
          <w:tab w:val="left" w:pos="0"/>
        </w:tabs>
        <w:ind w:right="-710"/>
        <w:jc w:val="center"/>
        <w:rPr>
          <w:lang w:val="nl-BE"/>
        </w:rPr>
        <w:sectPr w:rsidR="003A2D30" w:rsidRPr="008B6BC3" w:rsidSect="00B8303D">
          <w:headerReference w:type="default" r:id="rId11"/>
          <w:footerReference w:type="even" r:id="rId12"/>
          <w:footerReference w:type="default" r:id="rId13"/>
          <w:headerReference w:type="first" r:id="rId14"/>
          <w:footerReference w:type="first" r:id="rId15"/>
          <w:type w:val="continuous"/>
          <w:pgSz w:w="11906" w:h="16838" w:code="9"/>
          <w:pgMar w:top="709" w:right="1418" w:bottom="624" w:left="1559" w:header="567" w:footer="283" w:gutter="0"/>
          <w:cols w:space="708"/>
          <w:titlePg/>
          <w:docGrid w:linePitch="360"/>
        </w:sectPr>
      </w:pPr>
    </w:p>
    <w:p w14:paraId="4CD2FCD6" w14:textId="77777777" w:rsidR="003A2D30" w:rsidRPr="008B6BC3" w:rsidRDefault="00774E25" w:rsidP="00D45337">
      <w:pPr>
        <w:rPr>
          <w:lang w:val="nl-BE"/>
        </w:rPr>
      </w:pPr>
      <w:r>
        <w:rPr>
          <w:rFonts w:eastAsia="Arial" w:cs="Arial"/>
          <w:szCs w:val="20"/>
          <w:bdr w:val="nil"/>
          <w:lang w:val="nl-BE"/>
        </w:rPr>
        <w:br/>
        <w:t>Geachte mevrouw/heer,</w:t>
      </w:r>
    </w:p>
    <w:p w14:paraId="553A727C" w14:textId="77777777" w:rsidR="00B67921" w:rsidRPr="008B6BC3" w:rsidRDefault="00774E25" w:rsidP="00276F7F">
      <w:pPr>
        <w:rPr>
          <w:lang w:val="nl-BE"/>
        </w:rPr>
      </w:pPr>
      <w:r>
        <w:rPr>
          <w:rFonts w:eastAsia="Arial" w:cs="Arial"/>
          <w:szCs w:val="20"/>
          <w:bdr w:val="nil"/>
          <w:lang w:val="nl-BE"/>
        </w:rPr>
        <w:t>Op DD.MM.JJJJ hebben wij u een voorstel van overeenkomst tot overname in openbaar beheer gezonden voor het goed gelegen: ADRES</w:t>
      </w:r>
    </w:p>
    <w:p w14:paraId="3E46E998" w14:textId="77777777" w:rsidR="00CD7A0A" w:rsidRPr="008B6BC3" w:rsidRDefault="00774E25" w:rsidP="00CD7A0A">
      <w:pPr>
        <w:pStyle w:val="Letterbody"/>
        <w:jc w:val="both"/>
        <w:rPr>
          <w:lang w:val="nl-BE"/>
        </w:rPr>
      </w:pPr>
      <w:r>
        <w:rPr>
          <w:rFonts w:eastAsia="Arial" w:cs="Arial"/>
          <w:szCs w:val="20"/>
          <w:bdr w:val="nil"/>
          <w:lang w:val="nl-BE"/>
        </w:rPr>
        <w:t xml:space="preserve">Deze brief bood u de mogelijkheid: </w:t>
      </w:r>
    </w:p>
    <w:p w14:paraId="417C514C" w14:textId="77777777" w:rsidR="00CD7A0A" w:rsidRPr="008B6BC3" w:rsidRDefault="00774E25" w:rsidP="00CD7A0A">
      <w:pPr>
        <w:pStyle w:val="Letterbody"/>
        <w:numPr>
          <w:ilvl w:val="0"/>
          <w:numId w:val="1"/>
        </w:numPr>
        <w:jc w:val="both"/>
        <w:rPr>
          <w:lang w:val="nl-BE"/>
        </w:rPr>
      </w:pPr>
      <w:r>
        <w:rPr>
          <w:rFonts w:eastAsia="Arial" w:cs="Arial"/>
          <w:szCs w:val="20"/>
          <w:bdr w:val="nil"/>
          <w:lang w:val="nl-BE"/>
        </w:rPr>
        <w:t>het voorstel tot overname in openbaar beheer te aanvaarden;</w:t>
      </w:r>
    </w:p>
    <w:p w14:paraId="5947ABB9" w14:textId="57048E98" w:rsidR="001224D0" w:rsidRPr="008B6BC3" w:rsidRDefault="00774E25" w:rsidP="00B67921">
      <w:pPr>
        <w:pStyle w:val="Letterbody"/>
        <w:numPr>
          <w:ilvl w:val="0"/>
          <w:numId w:val="1"/>
        </w:numPr>
        <w:jc w:val="both"/>
        <w:rPr>
          <w:lang w:val="nl-BE"/>
        </w:rPr>
      </w:pPr>
      <w:r>
        <w:rPr>
          <w:rFonts w:eastAsia="Arial" w:cs="Arial"/>
          <w:szCs w:val="20"/>
          <w:bdr w:val="nil"/>
          <w:lang w:val="nl-BE"/>
        </w:rPr>
        <w:t xml:space="preserve">het voorstel tot overname in openbaar beheer te weigeren </w:t>
      </w:r>
      <w:r w:rsidR="008B6BC3">
        <w:rPr>
          <w:rFonts w:eastAsia="Arial" w:cs="Arial"/>
          <w:szCs w:val="20"/>
          <w:bdr w:val="nil"/>
          <w:lang w:val="nl-BE"/>
        </w:rPr>
        <w:t>om</w:t>
      </w:r>
      <w:r>
        <w:rPr>
          <w:rFonts w:eastAsia="Arial" w:cs="Arial"/>
          <w:szCs w:val="20"/>
          <w:bdr w:val="nil"/>
          <w:lang w:val="nl-BE"/>
        </w:rPr>
        <w:t xml:space="preserve"> legitieme redenen.</w:t>
      </w:r>
      <w:r>
        <w:rPr>
          <w:rFonts w:eastAsia="Arial" w:cs="Arial"/>
          <w:szCs w:val="20"/>
          <w:bdr w:val="nil"/>
          <w:lang w:val="nl-BE"/>
        </w:rPr>
        <w:br/>
      </w:r>
    </w:p>
    <w:p w14:paraId="2D93AD41" w14:textId="77777777" w:rsidR="00B67921" w:rsidRPr="008B6BC3" w:rsidRDefault="00774E25" w:rsidP="00B67921">
      <w:pPr>
        <w:rPr>
          <w:lang w:val="nl-BE"/>
        </w:rPr>
      </w:pPr>
      <w:r>
        <w:rPr>
          <w:rFonts w:eastAsia="Arial" w:cs="Arial"/>
          <w:szCs w:val="20"/>
          <w:bdr w:val="nil"/>
          <w:lang w:val="nl-BE"/>
        </w:rPr>
        <w:t>We stellen vast dat u geen enkel gevolg aan deze brief gegeven heeft.</w:t>
      </w:r>
    </w:p>
    <w:p w14:paraId="156A5050" w14:textId="2EB2FF9D" w:rsidR="00B67921" w:rsidRPr="008B6BC3" w:rsidRDefault="00774E25" w:rsidP="00B67921">
      <w:pPr>
        <w:rPr>
          <w:i/>
          <w:iCs/>
          <w:lang w:val="nl-BE"/>
        </w:rPr>
      </w:pPr>
      <w:r>
        <w:rPr>
          <w:rFonts w:eastAsia="Arial" w:cs="Arial"/>
          <w:szCs w:val="20"/>
          <w:bdr w:val="nil"/>
          <w:lang w:val="nl-BE"/>
        </w:rPr>
        <w:t>Daarom stellen wij u in gebreke</w:t>
      </w:r>
      <w:r w:rsidR="005F03C3">
        <w:rPr>
          <w:rStyle w:val="Appelnotedebasdep"/>
          <w:rFonts w:eastAsia="Arial" w:cs="Arial"/>
          <w:szCs w:val="20"/>
          <w:bdr w:val="nil"/>
          <w:lang w:val="nl-BE"/>
        </w:rPr>
        <w:footnoteReference w:id="2"/>
      </w:r>
      <w:r>
        <w:rPr>
          <w:rFonts w:eastAsia="Arial" w:cs="Arial"/>
          <w:szCs w:val="20"/>
          <w:bdr w:val="nil"/>
          <w:lang w:val="nl-BE"/>
        </w:rPr>
        <w:t xml:space="preserve"> uw goed </w:t>
      </w:r>
      <w:r>
        <w:rPr>
          <w:rFonts w:eastAsia="Arial" w:cs="Arial"/>
          <w:b/>
          <w:bCs/>
          <w:szCs w:val="20"/>
          <w:bdr w:val="nil"/>
          <w:lang w:val="nl-BE"/>
        </w:rPr>
        <w:t xml:space="preserve">ten laatste op DD.MM.JJJJ te verhuren, in voorkomend geval na uitvoering van de nodige werken, </w:t>
      </w:r>
      <w:r>
        <w:rPr>
          <w:rFonts w:eastAsia="Arial" w:cs="Arial"/>
          <w:szCs w:val="20"/>
          <w:bdr w:val="nil"/>
          <w:lang w:val="nl-BE"/>
        </w:rPr>
        <w:t xml:space="preserve">en ons daarvan het bewijs te leveren. </w:t>
      </w:r>
      <w:r>
        <w:rPr>
          <w:rFonts w:eastAsia="Arial" w:cs="Arial"/>
          <w:i/>
          <w:iCs/>
          <w:szCs w:val="20"/>
          <w:bdr w:val="nil"/>
          <w:lang w:val="nl-BE"/>
        </w:rPr>
        <w:t>Termijn van minstens twee maanden</w:t>
      </w:r>
    </w:p>
    <w:p w14:paraId="19F908DC" w14:textId="7A3F88A5" w:rsidR="00A9239A" w:rsidRPr="008B6BC3" w:rsidRDefault="00774E25" w:rsidP="00D45337">
      <w:pPr>
        <w:rPr>
          <w:lang w:val="nl-BE"/>
        </w:rPr>
      </w:pPr>
      <w:r>
        <w:rPr>
          <w:rFonts w:eastAsia="Arial" w:cs="Arial"/>
          <w:szCs w:val="20"/>
          <w:bdr w:val="nil"/>
          <w:lang w:val="nl-BE"/>
        </w:rPr>
        <w:t xml:space="preserve">Als het goed na het verstrijken van die termijn niet verhuurd is, zullen wij overgaan tot </w:t>
      </w:r>
      <w:r w:rsidR="008B6BC3" w:rsidRPr="008B6BC3">
        <w:rPr>
          <w:b/>
          <w:bCs/>
          <w:lang w:val="nl-BE"/>
        </w:rPr>
        <w:t>ambtshalve</w:t>
      </w:r>
      <w:r w:rsidRPr="008B6BC3">
        <w:rPr>
          <w:rFonts w:eastAsia="Arial" w:cs="Arial"/>
          <w:b/>
          <w:bCs/>
          <w:szCs w:val="20"/>
          <w:bdr w:val="nil"/>
          <w:lang w:val="nl-BE"/>
        </w:rPr>
        <w:t xml:space="preserve"> </w:t>
      </w:r>
      <w:r>
        <w:rPr>
          <w:rFonts w:eastAsia="Arial" w:cs="Arial"/>
          <w:b/>
          <w:bCs/>
          <w:szCs w:val="20"/>
          <w:bdr w:val="nil"/>
          <w:lang w:val="nl-BE"/>
        </w:rPr>
        <w:t>overname in openbaar beheer</w:t>
      </w:r>
      <w:r>
        <w:rPr>
          <w:rFonts w:eastAsia="Arial" w:cs="Arial"/>
          <w:szCs w:val="20"/>
          <w:bdr w:val="nil"/>
          <w:lang w:val="nl-BE"/>
        </w:rPr>
        <w:t xml:space="preserve">. </w:t>
      </w:r>
    </w:p>
    <w:p w14:paraId="01D5A6E2" w14:textId="77777777" w:rsidR="00C71B2D" w:rsidRPr="001A034C" w:rsidRDefault="00774E25" w:rsidP="00C71B2D">
      <w:pPr>
        <w:spacing w:after="0"/>
        <w:rPr>
          <w:rFonts w:eastAsia="Times New Roman" w:cs="Times New Roman"/>
          <w:szCs w:val="20"/>
          <w:lang w:val="fr-FR"/>
        </w:rPr>
      </w:pPr>
      <w:bookmarkStart w:id="0" w:name="_Hlk96090697"/>
      <w:r>
        <w:rPr>
          <w:rFonts w:eastAsia="Arial" w:cs="Arial"/>
          <w:szCs w:val="20"/>
          <w:bdr w:val="nil"/>
          <w:lang w:val="nl-BE"/>
        </w:rPr>
        <w:t>Hoogachtend,</w:t>
      </w:r>
    </w:p>
    <w:p w14:paraId="7C6FE019" w14:textId="77777777" w:rsidR="00C71B2D" w:rsidRDefault="00C71B2D" w:rsidP="00D45337">
      <w:pPr>
        <w:rPr>
          <w:lang w:val="fr-FR"/>
        </w:rPr>
      </w:pPr>
    </w:p>
    <w:bookmarkEnd w:id="0"/>
    <w:p w14:paraId="6AF52188" w14:textId="5A1C1E36" w:rsidR="00D45337" w:rsidRDefault="00774E25" w:rsidP="00D45337">
      <w:pPr>
        <w:rPr>
          <w:rFonts w:eastAsia="Arial" w:cs="Arial"/>
          <w:szCs w:val="20"/>
          <w:bdr w:val="nil"/>
          <w:lang w:val="nl-BE"/>
        </w:rPr>
      </w:pPr>
      <w:r>
        <w:rPr>
          <w:rFonts w:eastAsia="Arial" w:cs="Arial"/>
          <w:szCs w:val="20"/>
          <w:bdr w:val="nil"/>
          <w:lang w:val="nl-BE"/>
        </w:rPr>
        <w:t>HANDTEKENING</w:t>
      </w:r>
    </w:p>
    <w:p w14:paraId="063658BA" w14:textId="77777777" w:rsidR="00B8303D" w:rsidRDefault="00B8303D" w:rsidP="00D45337">
      <w:pPr>
        <w:rPr>
          <w:rFonts w:eastAsia="Arial" w:cs="Arial"/>
          <w:szCs w:val="20"/>
          <w:bdr w:val="nil"/>
          <w:lang w:val="nl-BE"/>
        </w:rPr>
      </w:pPr>
    </w:p>
    <w:p w14:paraId="417567EB" w14:textId="6DE02C84" w:rsidR="00B8303D" w:rsidRDefault="00B8303D" w:rsidP="00B8303D">
      <w:pPr>
        <w:tabs>
          <w:tab w:val="left" w:pos="1770"/>
        </w:tabs>
        <w:rPr>
          <w:rFonts w:eastAsia="Arial" w:cs="Arial"/>
          <w:szCs w:val="20"/>
          <w:bdr w:val="nil"/>
          <w:lang w:val="nl-BE"/>
        </w:rPr>
      </w:pPr>
      <w:r>
        <w:rPr>
          <w:rFonts w:eastAsia="Arial" w:cs="Arial"/>
          <w:szCs w:val="20"/>
          <w:bdr w:val="nil"/>
          <w:lang w:val="nl-BE"/>
        </w:rPr>
        <w:tab/>
      </w:r>
    </w:p>
    <w:p w14:paraId="1ECCEA3D" w14:textId="4C18B698" w:rsidR="00B8303D" w:rsidRDefault="00B8303D" w:rsidP="00D45337">
      <w:pPr>
        <w:rPr>
          <w:rFonts w:eastAsia="Arial" w:cs="Arial"/>
          <w:szCs w:val="20"/>
          <w:bdr w:val="nil"/>
          <w:lang w:val="nl-BE"/>
        </w:rPr>
      </w:pPr>
    </w:p>
    <w:p w14:paraId="6B21BBC2" w14:textId="082CF9D1" w:rsidR="00B8303D" w:rsidRDefault="00B8303D" w:rsidP="00D45337">
      <w:pPr>
        <w:rPr>
          <w:rFonts w:eastAsia="Arial" w:cs="Arial"/>
          <w:szCs w:val="20"/>
          <w:bdr w:val="nil"/>
          <w:lang w:val="nl-BE"/>
        </w:rPr>
      </w:pPr>
    </w:p>
    <w:p w14:paraId="40786F9D" w14:textId="77777777" w:rsidR="00B8303D" w:rsidRDefault="00B8303D" w:rsidP="00D45337">
      <w:pPr>
        <w:rPr>
          <w:rFonts w:eastAsia="Arial" w:cs="Arial"/>
          <w:szCs w:val="20"/>
          <w:bdr w:val="nil"/>
          <w:lang w:val="nl-BE"/>
        </w:rPr>
      </w:pPr>
    </w:p>
    <w:p w14:paraId="05CC31B7" w14:textId="776C262D" w:rsidR="00B8303D" w:rsidRDefault="00B8303D" w:rsidP="00D45337">
      <w:pPr>
        <w:rPr>
          <w:rFonts w:eastAsia="Arial" w:cs="Arial"/>
          <w:szCs w:val="20"/>
          <w:bdr w:val="nil"/>
          <w:lang w:val="nl-BE"/>
        </w:rPr>
      </w:pPr>
    </w:p>
    <w:p w14:paraId="0B0189EE" w14:textId="5515336C" w:rsidR="00B8303D" w:rsidRDefault="00B8303D" w:rsidP="00D45337">
      <w:pPr>
        <w:rPr>
          <w:rFonts w:eastAsia="Arial" w:cs="Arial"/>
          <w:szCs w:val="20"/>
          <w:bdr w:val="nil"/>
          <w:lang w:val="nl-BE"/>
        </w:rPr>
      </w:pPr>
    </w:p>
    <w:p w14:paraId="29628669" w14:textId="77777777" w:rsidR="00B8303D" w:rsidRDefault="00B8303D" w:rsidP="00D45337">
      <w:pPr>
        <w:rPr>
          <w:rFonts w:eastAsia="Arial" w:cs="Arial"/>
          <w:szCs w:val="20"/>
          <w:bdr w:val="nil"/>
          <w:lang w:val="nl-BE"/>
        </w:rPr>
      </w:pPr>
    </w:p>
    <w:p w14:paraId="03BFD3A4" w14:textId="0E58F56E" w:rsidR="00B8303D" w:rsidRDefault="00B8303D" w:rsidP="00D45337">
      <w:pPr>
        <w:rPr>
          <w:rFonts w:eastAsia="Arial" w:cs="Arial"/>
          <w:szCs w:val="20"/>
          <w:bdr w:val="nil"/>
          <w:lang w:val="nl-BE"/>
        </w:rPr>
      </w:pPr>
      <w:r>
        <w:rPr>
          <w:rFonts w:eastAsia="Arial" w:cs="Arial"/>
          <w:szCs w:val="20"/>
          <w:bdr w:val="nil"/>
          <w:lang w:val="nl-BE"/>
        </w:rPr>
        <w:br w:type="page"/>
      </w:r>
    </w:p>
    <w:p w14:paraId="75BC4028" w14:textId="77777777" w:rsidR="00B8303D" w:rsidRDefault="00B8303D" w:rsidP="00624BD4">
      <w:r>
        <w:rPr>
          <w:rFonts w:cs="Arial"/>
          <w:b/>
          <w:bCs/>
          <w:noProof/>
          <w:sz w:val="22"/>
          <w:szCs w:val="24"/>
        </w:rPr>
        <w:lastRenderedPageBreak/>
        <mc:AlternateContent>
          <mc:Choice Requires="wpg">
            <w:drawing>
              <wp:anchor distT="0" distB="0" distL="114300" distR="114300" simplePos="0" relativeHeight="251659264" behindDoc="0" locked="0" layoutInCell="1" allowOverlap="1" wp14:anchorId="04FC71AF" wp14:editId="63A2080F">
                <wp:simplePos x="0" y="0"/>
                <wp:positionH relativeFrom="page">
                  <wp:align>center</wp:align>
                </wp:positionH>
                <wp:positionV relativeFrom="paragraph">
                  <wp:posOffset>14605</wp:posOffset>
                </wp:positionV>
                <wp:extent cx="6179127" cy="662940"/>
                <wp:effectExtent l="0" t="0" r="12700" b="22860"/>
                <wp:wrapNone/>
                <wp:docPr id="6" name="Groupe 6"/>
                <wp:cNvGraphicFramePr/>
                <a:graphic xmlns:a="http://schemas.openxmlformats.org/drawingml/2006/main">
                  <a:graphicData uri="http://schemas.microsoft.com/office/word/2010/wordprocessingGroup">
                    <wpg:wgp>
                      <wpg:cNvGrpSpPr/>
                      <wpg:grpSpPr>
                        <a:xfrm>
                          <a:off x="0" y="0"/>
                          <a:ext cx="6179127" cy="662940"/>
                          <a:chOff x="0" y="0"/>
                          <a:chExt cx="6179127" cy="484909"/>
                        </a:xfrm>
                      </wpg:grpSpPr>
                      <wps:wsp>
                        <wps:cNvPr id="7" name="Rectangle 7"/>
                        <wps:cNvSpPr/>
                        <wps:spPr>
                          <a:xfrm>
                            <a:off x="0" y="0"/>
                            <a:ext cx="6179127" cy="484909"/>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one de texte 2"/>
                        <wps:cNvSpPr txBox="1">
                          <a:spLocks noChangeArrowheads="1"/>
                        </wps:cNvSpPr>
                        <wps:spPr bwMode="auto">
                          <a:xfrm>
                            <a:off x="68580" y="76200"/>
                            <a:ext cx="6042660" cy="342900"/>
                          </a:xfrm>
                          <a:prstGeom prst="rect">
                            <a:avLst/>
                          </a:prstGeom>
                          <a:solidFill>
                            <a:srgbClr val="FFFFFF"/>
                          </a:solidFill>
                          <a:ln w="9525">
                            <a:noFill/>
                            <a:miter lim="800000"/>
                            <a:headEnd/>
                            <a:tailEnd/>
                          </a:ln>
                        </wps:spPr>
                        <wps:txbx>
                          <w:txbxContent>
                            <w:p w14:paraId="2618C996" w14:textId="77777777" w:rsidR="00B8303D" w:rsidRPr="00624BD4" w:rsidRDefault="00B8303D" w:rsidP="00624BD4">
                              <w:pPr>
                                <w:jc w:val="center"/>
                                <w:rPr>
                                  <w:b/>
                                  <w:bCs/>
                                  <w:sz w:val="24"/>
                                  <w:szCs w:val="28"/>
                                  <w:lang w:val="nl-BE"/>
                                </w:rPr>
                              </w:pPr>
                              <w:r w:rsidRPr="00624BD4">
                                <w:rPr>
                                  <w:b/>
                                  <w:bCs/>
                                  <w:sz w:val="24"/>
                                  <w:szCs w:val="28"/>
                                  <w:lang w:val="nl-BE"/>
                                </w:rPr>
                                <w:t>Brusselse Huisvestingscode van 17 juli 2003</w:t>
                              </w:r>
                              <w:r w:rsidRPr="00624BD4">
                                <w:rPr>
                                  <w:b/>
                                  <w:bCs/>
                                  <w:sz w:val="24"/>
                                  <w:szCs w:val="28"/>
                                  <w:lang w:val="nl-BE"/>
                                </w:rPr>
                                <w:br/>
                                <w:t>(</w:t>
                              </w:r>
                              <w:r>
                                <w:rPr>
                                  <w:b/>
                                  <w:bCs/>
                                  <w:sz w:val="24"/>
                                  <w:szCs w:val="28"/>
                                  <w:lang w:val="nl-BE"/>
                                </w:rPr>
                                <w:t>u</w:t>
                              </w:r>
                              <w:r w:rsidRPr="00624BD4">
                                <w:rPr>
                                  <w:b/>
                                  <w:bCs/>
                                  <w:sz w:val="24"/>
                                  <w:szCs w:val="28"/>
                                  <w:lang w:val="nl-BE"/>
                                </w:rPr>
                                <w:t>ittreksel</w:t>
                              </w:r>
                              <w:r>
                                <w:rPr>
                                  <w:b/>
                                  <w:bCs/>
                                  <w:sz w:val="24"/>
                                  <w:szCs w:val="28"/>
                                  <w:lang w:val="nl-BE"/>
                                </w:rPr>
                                <w:t>)</w:t>
                              </w:r>
                            </w:p>
                            <w:p w14:paraId="1FFA40E8" w14:textId="77777777" w:rsidR="00B8303D" w:rsidRPr="00624BD4" w:rsidRDefault="00B8303D" w:rsidP="00624BD4">
                              <w:pPr>
                                <w:ind w:left="1418"/>
                                <w:jc w:val="left"/>
                                <w:rPr>
                                  <w:lang w:val="nl-BE"/>
                                </w:rPr>
                              </w:pPr>
                            </w:p>
                            <w:p w14:paraId="5E98CDB6" w14:textId="77777777" w:rsidR="00B8303D" w:rsidRPr="00624BD4" w:rsidRDefault="00B8303D" w:rsidP="00624BD4">
                              <w:pPr>
                                <w:rPr>
                                  <w:lang w:val="nl-BE"/>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4FC71AF" id="Groupe 6" o:spid="_x0000_s1026" style="position:absolute;left:0;text-align:left;margin-left:0;margin-top:1.15pt;width:486.55pt;height:52.2pt;z-index:251659264;mso-position-horizontal:center;mso-position-horizontal-relative:page;mso-height-relative:margin" coordsize="61791,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">
                <v:rect id="Rectangle 7" o:spid="_x0000_s1027" style="position:absolute;width:61791;height: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" filled="f" strokecolor="#365f91 [2404]" strokeweight="2pt"/>
                <v:shapetype id="_x0000_t202" coordsize="21600,21600" o:spt="202" path="m,l,21600r21600,l21600,xe">
                  <v:stroke joinstyle="miter"/>
                  <v:path gradientshapeok="t" o:connecttype="rect"/>
                </v:shapetype>
                <v:shape id="Zone de texte 2" o:spid="_x0000_s1028" type="#_x0000_t202" style="position:absolute;left:685;top:762;width:604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618C996" w14:textId="77777777" w:rsidR="00B8303D" w:rsidRPr="00624BD4" w:rsidRDefault="00B8303D" w:rsidP="00624BD4">
                        <w:pPr>
                          <w:jc w:val="center"/>
                          <w:rPr>
                            <w:b/>
                            <w:bCs/>
                            <w:sz w:val="24"/>
                            <w:szCs w:val="28"/>
                            <w:lang w:val="nl-BE"/>
                          </w:rPr>
                        </w:pPr>
                        <w:r w:rsidRPr="00624BD4">
                          <w:rPr>
                            <w:b/>
                            <w:bCs/>
                            <w:sz w:val="24"/>
                            <w:szCs w:val="28"/>
                            <w:lang w:val="nl-BE"/>
                          </w:rPr>
                          <w:t>Brusselse Huisvestingscode van 17 juli 2003</w:t>
                        </w:r>
                        <w:r w:rsidRPr="00624BD4">
                          <w:rPr>
                            <w:b/>
                            <w:bCs/>
                            <w:sz w:val="24"/>
                            <w:szCs w:val="28"/>
                            <w:lang w:val="nl-BE"/>
                          </w:rPr>
                          <w:br/>
                          <w:t>(</w:t>
                        </w:r>
                        <w:r>
                          <w:rPr>
                            <w:b/>
                            <w:bCs/>
                            <w:sz w:val="24"/>
                            <w:szCs w:val="28"/>
                            <w:lang w:val="nl-BE"/>
                          </w:rPr>
                          <w:t>u</w:t>
                        </w:r>
                        <w:r w:rsidRPr="00624BD4">
                          <w:rPr>
                            <w:b/>
                            <w:bCs/>
                            <w:sz w:val="24"/>
                            <w:szCs w:val="28"/>
                            <w:lang w:val="nl-BE"/>
                          </w:rPr>
                          <w:t>ittreksel</w:t>
                        </w:r>
                        <w:r>
                          <w:rPr>
                            <w:b/>
                            <w:bCs/>
                            <w:sz w:val="24"/>
                            <w:szCs w:val="28"/>
                            <w:lang w:val="nl-BE"/>
                          </w:rPr>
                          <w:t>)</w:t>
                        </w:r>
                      </w:p>
                      <w:p w14:paraId="1FFA40E8" w14:textId="77777777" w:rsidR="00B8303D" w:rsidRPr="00624BD4" w:rsidRDefault="00B8303D" w:rsidP="00624BD4">
                        <w:pPr>
                          <w:ind w:left="1418"/>
                          <w:jc w:val="left"/>
                          <w:rPr>
                            <w:lang w:val="nl-BE"/>
                          </w:rPr>
                        </w:pPr>
                      </w:p>
                      <w:p w14:paraId="5E98CDB6" w14:textId="77777777" w:rsidR="00B8303D" w:rsidRPr="00624BD4" w:rsidRDefault="00B8303D" w:rsidP="00624BD4">
                        <w:pPr>
                          <w:rPr>
                            <w:lang w:val="nl-BE"/>
                          </w:rPr>
                        </w:pPr>
                      </w:p>
                    </w:txbxContent>
                  </v:textbox>
                </v:shape>
                <w10:wrap anchorx="page"/>
              </v:group>
            </w:pict>
          </mc:Fallback>
        </mc:AlternateContent>
      </w:r>
    </w:p>
    <w:p w14:paraId="51F62DCD" w14:textId="77777777" w:rsidR="00B8303D" w:rsidRDefault="00B8303D" w:rsidP="00624BD4"/>
    <w:p w14:paraId="6C47E145" w14:textId="77777777" w:rsidR="00B8303D" w:rsidRDefault="00B8303D" w:rsidP="00624BD4"/>
    <w:p w14:paraId="1C99FF11" w14:textId="77777777" w:rsidR="00B8303D" w:rsidRPr="00624BD4" w:rsidRDefault="00B8303D" w:rsidP="00624BD4">
      <w:pPr>
        <w:rPr>
          <w:u w:val="single"/>
          <w:lang w:val="nl-BE"/>
        </w:rPr>
      </w:pPr>
      <w:r w:rsidRPr="00624BD4">
        <w:rPr>
          <w:u w:val="single"/>
          <w:lang w:val="nl-BE"/>
        </w:rPr>
        <w:t>Afdeling 2. Het openbaar beheersrecht van woningen</w:t>
      </w:r>
    </w:p>
    <w:p w14:paraId="5ADAF156" w14:textId="77777777" w:rsidR="00B8303D" w:rsidRPr="00624BD4" w:rsidRDefault="00B8303D" w:rsidP="00624BD4">
      <w:pPr>
        <w:rPr>
          <w:i/>
          <w:iCs/>
          <w:lang w:val="nl-BE"/>
        </w:rPr>
      </w:pPr>
      <w:r w:rsidRPr="00624BD4">
        <w:rPr>
          <w:i/>
          <w:iCs/>
          <w:lang w:val="nl-BE"/>
        </w:rPr>
        <w:t xml:space="preserve">  Art. 15. Toepassingsgebied</w:t>
      </w:r>
    </w:p>
    <w:p w14:paraId="1C6958FF" w14:textId="77777777" w:rsidR="00B8303D" w:rsidRPr="00624BD4" w:rsidRDefault="00B8303D" w:rsidP="00624BD4">
      <w:pPr>
        <w:rPr>
          <w:lang w:val="nl-BE"/>
        </w:rPr>
      </w:pPr>
      <w:r w:rsidRPr="00624BD4">
        <w:rPr>
          <w:lang w:val="nl-BE"/>
        </w:rPr>
        <w:t xml:space="preserve">   Iedere openbare beheerder beschikt over een openbaar beheersrecht van volgende woningen :</w:t>
      </w:r>
    </w:p>
    <w:p w14:paraId="1087DF91" w14:textId="77777777" w:rsidR="00B8303D" w:rsidRPr="00624BD4" w:rsidRDefault="00B8303D" w:rsidP="00624BD4">
      <w:pPr>
        <w:rPr>
          <w:lang w:val="nl-BE"/>
        </w:rPr>
      </w:pPr>
      <w:r w:rsidRPr="00624BD4">
        <w:rPr>
          <w:lang w:val="nl-BE"/>
        </w:rPr>
        <w:t xml:space="preserve">   1° de leegstaande woningen, zoals gedefinieerd in artikel 19/2 ;</w:t>
      </w:r>
    </w:p>
    <w:p w14:paraId="4798889B" w14:textId="77777777" w:rsidR="00B8303D" w:rsidRPr="00624BD4" w:rsidRDefault="00B8303D" w:rsidP="00624BD4">
      <w:pPr>
        <w:rPr>
          <w:lang w:val="nl-BE"/>
        </w:rPr>
      </w:pPr>
      <w:r w:rsidRPr="00624BD4">
        <w:rPr>
          <w:lang w:val="nl-BE"/>
        </w:rPr>
        <w:t xml:space="preserve">   2° de woningen die het voorwerp uitmaken van het verbod tot verhuur bedoeld in artikel 8 ;</w:t>
      </w:r>
    </w:p>
    <w:p w14:paraId="41BD6E5C" w14:textId="77777777" w:rsidR="00B8303D" w:rsidRPr="00624BD4" w:rsidRDefault="00B8303D" w:rsidP="00624BD4">
      <w:pPr>
        <w:rPr>
          <w:lang w:val="nl-BE"/>
        </w:rPr>
      </w:pPr>
      <w:r w:rsidRPr="00624BD4">
        <w:rPr>
          <w:lang w:val="nl-BE"/>
        </w:rPr>
        <w:t xml:space="preserve">   3° de onbewoonbaar verklaarde woningen, in overeenstemming met artikel 135 van de Nieuwe Gemeentewet.</w:t>
      </w:r>
      <w:r>
        <w:rPr>
          <w:lang w:val="nl-BE"/>
        </w:rPr>
        <w:br/>
      </w:r>
    </w:p>
    <w:p w14:paraId="1B3FA746" w14:textId="77777777" w:rsidR="00B8303D" w:rsidRPr="00624BD4" w:rsidRDefault="00B8303D" w:rsidP="00624BD4">
      <w:pPr>
        <w:rPr>
          <w:i/>
          <w:iCs/>
          <w:lang w:val="nl-BE"/>
        </w:rPr>
      </w:pPr>
      <w:r w:rsidRPr="00624BD4">
        <w:rPr>
          <w:i/>
          <w:iCs/>
          <w:lang w:val="nl-BE"/>
        </w:rPr>
        <w:t xml:space="preserve">  Art. 16. Voorstel tot overname van het beheer</w:t>
      </w:r>
    </w:p>
    <w:p w14:paraId="7400F8D3" w14:textId="77777777" w:rsidR="00B8303D" w:rsidRPr="00624BD4" w:rsidRDefault="00B8303D" w:rsidP="00624BD4">
      <w:pPr>
        <w:rPr>
          <w:lang w:val="nl-BE"/>
        </w:rPr>
      </w:pPr>
      <w:r w:rsidRPr="00624BD4">
        <w:rPr>
          <w:lang w:val="nl-BE"/>
        </w:rPr>
        <w:t xml:space="preserve">   § 1. Bezoek aan de woning</w:t>
      </w:r>
    </w:p>
    <w:p w14:paraId="6456B308" w14:textId="77777777" w:rsidR="00B8303D" w:rsidRPr="00624BD4" w:rsidRDefault="00B8303D" w:rsidP="00624BD4">
      <w:pPr>
        <w:rPr>
          <w:lang w:val="nl-BE"/>
        </w:rPr>
      </w:pPr>
      <w:r w:rsidRPr="00624BD4">
        <w:rPr>
          <w:lang w:val="nl-BE"/>
        </w:rPr>
        <w:t xml:space="preserve">   De openbare beheerder die een woning zoals bedoeld in artikel 15 in beheer wil nemen, kan aan de houder van een zakelijk recht op de woning per aangetekende brief vragen om de woning te bezoeken binnen de maand, tussen 8 uur en 20 uur.</w:t>
      </w:r>
    </w:p>
    <w:p w14:paraId="6D1F27D3" w14:textId="77777777" w:rsidR="00B8303D" w:rsidRPr="00624BD4" w:rsidRDefault="00B8303D" w:rsidP="00624BD4">
      <w:pPr>
        <w:rPr>
          <w:lang w:val="nl-BE"/>
        </w:rPr>
      </w:pPr>
      <w:r w:rsidRPr="00624BD4">
        <w:rPr>
          <w:lang w:val="nl-BE"/>
        </w:rPr>
        <w:t xml:space="preserve">   Teneinde te bepalen welke werkzaamheden eventueel noodzakelijk zijn, vindt dit bezoek plaats in aanwezigheid van ambtenaren van de Gewestelijke Overheidsdienst Brussel die bevoegd zijn inzake huisvesting.</w:t>
      </w:r>
    </w:p>
    <w:p w14:paraId="5F47B566" w14:textId="77777777" w:rsidR="00B8303D" w:rsidRPr="00624BD4" w:rsidRDefault="00B8303D" w:rsidP="00624BD4">
      <w:pPr>
        <w:rPr>
          <w:lang w:val="nl-BE"/>
        </w:rPr>
      </w:pPr>
      <w:r w:rsidRPr="00624BD4">
        <w:rPr>
          <w:lang w:val="nl-BE"/>
        </w:rPr>
        <w:t xml:space="preserve">   Wanneer het bezoek niet kon plaatsvinden doordat er geen toestemming van een houder van een zakelijk recht werd verkregen, kunnen de ambtenaren, vergezeld van vertegenwoordigers van de openbare beheerder, de woning ambtshalve binnendringen met toestemming van de politierechtbank.</w:t>
      </w:r>
    </w:p>
    <w:p w14:paraId="5D06EBAF" w14:textId="77777777" w:rsidR="00B8303D" w:rsidRPr="00624BD4" w:rsidRDefault="00B8303D" w:rsidP="00624BD4">
      <w:pPr>
        <w:rPr>
          <w:lang w:val="nl-BE"/>
        </w:rPr>
      </w:pPr>
      <w:r w:rsidRPr="00624BD4">
        <w:rPr>
          <w:lang w:val="nl-BE"/>
        </w:rPr>
        <w:t xml:space="preserve">   § 2. Voorstel van een beheersovereenkomst</w:t>
      </w:r>
    </w:p>
    <w:p w14:paraId="6D8C8C69" w14:textId="77777777" w:rsidR="00B8303D" w:rsidRPr="00624BD4" w:rsidRDefault="00B8303D" w:rsidP="00624BD4">
      <w:pPr>
        <w:rPr>
          <w:lang w:val="nl-BE"/>
        </w:rPr>
      </w:pPr>
      <w:r w:rsidRPr="00624BD4">
        <w:rPr>
          <w:lang w:val="nl-BE"/>
        </w:rPr>
        <w:t xml:space="preserve">   De openbare beheerder die wil overgaan tot openbaar beheer, stelt aan de houder van een zakelijk recht op de betrokken woning per aangetekend schrijven voor om zijn goed te beheren om het te huur te stellen en, in voorkomend geval, de noodzakelijke werkzaamheden uit te voeren.</w:t>
      </w:r>
    </w:p>
    <w:p w14:paraId="43F3914E" w14:textId="77777777" w:rsidR="00B8303D" w:rsidRPr="00624BD4" w:rsidRDefault="00B8303D" w:rsidP="00624BD4">
      <w:pPr>
        <w:rPr>
          <w:lang w:val="nl-BE"/>
        </w:rPr>
      </w:pPr>
      <w:r w:rsidRPr="00624BD4">
        <w:rPr>
          <w:lang w:val="nl-BE"/>
        </w:rPr>
        <w:t xml:space="preserve">   Dit voorstel bevat de modelovereenkomst zoals bepaald door de Regering.</w:t>
      </w:r>
    </w:p>
    <w:p w14:paraId="721A2C3C" w14:textId="77777777" w:rsidR="00B8303D" w:rsidRPr="00624BD4" w:rsidRDefault="00B8303D" w:rsidP="00624BD4">
      <w:pPr>
        <w:rPr>
          <w:lang w:val="nl-BE"/>
        </w:rPr>
      </w:pPr>
      <w:r w:rsidRPr="00624BD4">
        <w:rPr>
          <w:lang w:val="nl-BE"/>
        </w:rPr>
        <w:t xml:space="preserve">   De houder van een zakelijk recht beschikt over een termijn van twee maanden om per aangetekend schrijven kennis te geven van zijn antwoord.</w:t>
      </w:r>
    </w:p>
    <w:p w14:paraId="711FDDE6" w14:textId="77777777" w:rsidR="00B8303D" w:rsidRPr="00624BD4" w:rsidRDefault="00B8303D" w:rsidP="00624BD4">
      <w:pPr>
        <w:rPr>
          <w:lang w:val="nl-BE"/>
        </w:rPr>
      </w:pPr>
      <w:r w:rsidRPr="00624BD4">
        <w:rPr>
          <w:lang w:val="nl-BE"/>
        </w:rPr>
        <w:t xml:space="preserve">   § 3. Sluiten van een beheersovereenkomst</w:t>
      </w:r>
    </w:p>
    <w:p w14:paraId="6E90B42B" w14:textId="77777777" w:rsidR="00B8303D" w:rsidRPr="00624BD4" w:rsidRDefault="00B8303D" w:rsidP="00624BD4">
      <w:pPr>
        <w:rPr>
          <w:lang w:val="nl-BE"/>
        </w:rPr>
      </w:pPr>
      <w:r w:rsidRPr="00624BD4">
        <w:rPr>
          <w:lang w:val="nl-BE"/>
        </w:rPr>
        <w:t xml:space="preserve">   Als het antwoord positief is, sluit de openbare beheerder met de houder van een zakelijk recht een beheersovereenkomst waarvan de modaliteiten worden vastgesteld door de Regering.</w:t>
      </w:r>
      <w:r>
        <w:rPr>
          <w:lang w:val="nl-BE"/>
        </w:rPr>
        <w:br/>
      </w:r>
    </w:p>
    <w:p w14:paraId="405CB9F3" w14:textId="77777777" w:rsidR="00B8303D" w:rsidRPr="00624BD4" w:rsidRDefault="00B8303D" w:rsidP="00624BD4">
      <w:pPr>
        <w:rPr>
          <w:i/>
          <w:iCs/>
          <w:lang w:val="nl-BE"/>
        </w:rPr>
      </w:pPr>
      <w:r w:rsidRPr="00624BD4">
        <w:rPr>
          <w:i/>
          <w:iCs/>
          <w:lang w:val="nl-BE"/>
        </w:rPr>
        <w:t xml:space="preserve">  Art. 17. Weigering van het voorstel tot overname van het beheer</w:t>
      </w:r>
    </w:p>
    <w:p w14:paraId="40568182" w14:textId="77777777" w:rsidR="00B8303D" w:rsidRPr="00624BD4" w:rsidRDefault="00B8303D" w:rsidP="00624BD4">
      <w:pPr>
        <w:rPr>
          <w:lang w:val="nl-BE"/>
        </w:rPr>
      </w:pPr>
      <w:r w:rsidRPr="00624BD4">
        <w:rPr>
          <w:lang w:val="nl-BE"/>
        </w:rPr>
        <w:t xml:space="preserve">   § 1. Ingebrekestelling</w:t>
      </w:r>
    </w:p>
    <w:p w14:paraId="51B33716" w14:textId="77777777" w:rsidR="00B8303D" w:rsidRPr="00624BD4" w:rsidRDefault="00B8303D" w:rsidP="00624BD4">
      <w:pPr>
        <w:rPr>
          <w:lang w:val="nl-BE"/>
        </w:rPr>
      </w:pPr>
      <w:r w:rsidRPr="00624BD4">
        <w:rPr>
          <w:lang w:val="nl-BE"/>
        </w:rPr>
        <w:t xml:space="preserve">   Indien de houder van een zakelijk recht op de betrokken woning zonder legitieme reden weigert of niet antwoordt binnen de in artikel 16, § 2, vastgelegde termijn, stelt de openbare beheerder hem per aangetekend schrijven in gebreke de woning te verhuren, nadat hij, in voorkomend geval, de werkzaamheden heeft uitgevoerd.</w:t>
      </w:r>
    </w:p>
    <w:p w14:paraId="63551F2E" w14:textId="77777777" w:rsidR="00B8303D" w:rsidRPr="00624BD4" w:rsidRDefault="00B8303D" w:rsidP="00624BD4">
      <w:pPr>
        <w:rPr>
          <w:lang w:val="nl-BE"/>
        </w:rPr>
      </w:pPr>
      <w:r w:rsidRPr="00624BD4">
        <w:rPr>
          <w:lang w:val="nl-BE"/>
        </w:rPr>
        <w:lastRenderedPageBreak/>
        <w:t xml:space="preserve">   De ingebrekestelling vermeldt uitdrukkelijk de intentie van de openbare beheerder om zijn openbaar beheersrecht uit te oefenen na het verstrijken van de vastgestelde termijn, die minimaal twee maanden bedraagt.</w:t>
      </w:r>
    </w:p>
    <w:p w14:paraId="539A1FE5" w14:textId="77777777" w:rsidR="00B8303D" w:rsidRPr="00624BD4" w:rsidRDefault="00B8303D" w:rsidP="00624BD4">
      <w:pPr>
        <w:rPr>
          <w:lang w:val="nl-BE"/>
        </w:rPr>
      </w:pPr>
      <w:r w:rsidRPr="00624BD4">
        <w:rPr>
          <w:lang w:val="nl-BE"/>
        </w:rPr>
        <w:t xml:space="preserve">   De bepalingen van deze afdeling worden integraal opgenomen in de ingebrekestelling.</w:t>
      </w:r>
    </w:p>
    <w:p w14:paraId="5AC67B84" w14:textId="77777777" w:rsidR="00B8303D" w:rsidRPr="00624BD4" w:rsidRDefault="00B8303D" w:rsidP="00624BD4">
      <w:pPr>
        <w:rPr>
          <w:lang w:val="nl-BE"/>
        </w:rPr>
      </w:pPr>
      <w:r w:rsidRPr="00624BD4">
        <w:rPr>
          <w:lang w:val="nl-BE"/>
        </w:rPr>
        <w:t xml:space="preserve">   § 2. Kennisgeving</w:t>
      </w:r>
    </w:p>
    <w:p w14:paraId="0B7D634E" w14:textId="77777777" w:rsidR="00B8303D" w:rsidRPr="00624BD4" w:rsidRDefault="00B8303D" w:rsidP="00624BD4">
      <w:pPr>
        <w:rPr>
          <w:lang w:val="nl-BE"/>
        </w:rPr>
      </w:pPr>
      <w:r w:rsidRPr="00624BD4">
        <w:rPr>
          <w:lang w:val="nl-BE"/>
        </w:rPr>
        <w:t xml:space="preserve">   Bij het verstrijken van de in de ingebrekestelling vastgestelde termijn stelt de openbare beheerder de houder van een zakelijk recht per aangetekend schrijven in kennis van de uitvoering van het openbaar beheersrecht. Hij brengt er ook de Gewestelijke Dienst Leegstaande Woningen van op de hoogte.</w:t>
      </w:r>
      <w:r>
        <w:rPr>
          <w:lang w:val="nl-BE"/>
        </w:rPr>
        <w:br/>
      </w:r>
    </w:p>
    <w:p w14:paraId="64574D79" w14:textId="77777777" w:rsidR="00B8303D" w:rsidRPr="00624BD4" w:rsidRDefault="00B8303D" w:rsidP="00624BD4">
      <w:pPr>
        <w:rPr>
          <w:i/>
          <w:iCs/>
          <w:lang w:val="nl-BE"/>
        </w:rPr>
      </w:pPr>
      <w:r w:rsidRPr="00624BD4">
        <w:rPr>
          <w:i/>
          <w:iCs/>
          <w:lang w:val="nl-BE"/>
        </w:rPr>
        <w:t xml:space="preserve">  Art. 18. Uitvoering van het openbaar beheersrecht</w:t>
      </w:r>
    </w:p>
    <w:p w14:paraId="04440642" w14:textId="77777777" w:rsidR="00B8303D" w:rsidRPr="00624BD4" w:rsidRDefault="00B8303D" w:rsidP="00624BD4">
      <w:pPr>
        <w:rPr>
          <w:lang w:val="nl-BE"/>
        </w:rPr>
      </w:pPr>
      <w:r w:rsidRPr="00624BD4">
        <w:rPr>
          <w:lang w:val="nl-BE"/>
        </w:rPr>
        <w:t xml:space="preserve">   § 1. Gevolgen van het openbaar beheersrecht</w:t>
      </w:r>
    </w:p>
    <w:p w14:paraId="40B0C9A6" w14:textId="77777777" w:rsidR="00B8303D" w:rsidRPr="00624BD4" w:rsidRDefault="00B8303D" w:rsidP="00624BD4">
      <w:pPr>
        <w:rPr>
          <w:lang w:val="nl-BE"/>
        </w:rPr>
      </w:pPr>
      <w:r w:rsidRPr="00624BD4">
        <w:rPr>
          <w:lang w:val="nl-BE"/>
        </w:rPr>
        <w:t xml:space="preserve">   Vanaf de kennisgeving van de uitvoering van het openbaar beheersrecht is de openbare beheerder bevoegd voor het voorlopige beheer van de woning, met inbegrip van de mogelijkheid om er de vereiste werkzaamheden met het oog op de verhuring uit te voeren en om ze gedurende negen jaar te verhuren onder de voorwaarden voor de toegang tot de sociale huisvesting vastgesteld door de Regering met toepassing van Titel VI van deze Code.</w:t>
      </w:r>
    </w:p>
    <w:p w14:paraId="5934BD92" w14:textId="77777777" w:rsidR="00B8303D" w:rsidRPr="00624BD4" w:rsidRDefault="00B8303D" w:rsidP="00624BD4">
      <w:pPr>
        <w:rPr>
          <w:lang w:val="nl-BE"/>
        </w:rPr>
      </w:pPr>
      <w:r w:rsidRPr="00624BD4">
        <w:rPr>
          <w:lang w:val="nl-BE"/>
        </w:rPr>
        <w:t xml:space="preserve">   De betaling van de onroerende voorheffing is ten laste van de houder van het zakelijk recht op de belastbare woning op 1 januari van het betrokken aanslagjaar.</w:t>
      </w:r>
    </w:p>
    <w:p w14:paraId="575962D4" w14:textId="77777777" w:rsidR="00B8303D" w:rsidRPr="00624BD4" w:rsidRDefault="00B8303D" w:rsidP="00624BD4">
      <w:pPr>
        <w:rPr>
          <w:lang w:val="nl-BE"/>
        </w:rPr>
      </w:pPr>
      <w:r w:rsidRPr="00624BD4">
        <w:rPr>
          <w:lang w:val="nl-BE"/>
        </w:rPr>
        <w:t xml:space="preserve">   De periode van negen jaar kan worden verlengd met het aantal maanden dat nodig is om de huurgelden, de volledige kosten van de overname van beheer en deze verbonden met het beheer te dekken. Deze kosten worden gedefinieerd door de Regering.</w:t>
      </w:r>
    </w:p>
    <w:p w14:paraId="1B314239" w14:textId="77777777" w:rsidR="00B8303D" w:rsidRPr="00624BD4" w:rsidRDefault="00B8303D" w:rsidP="00624BD4">
      <w:pPr>
        <w:rPr>
          <w:lang w:val="nl-BE"/>
        </w:rPr>
      </w:pPr>
      <w:r w:rsidRPr="00624BD4">
        <w:rPr>
          <w:lang w:val="nl-BE"/>
        </w:rPr>
        <w:t xml:space="preserve">   De huurovereenkomsten die openbare beheerder sluit, zijn van rechtswege tegenwerpelijk aan de houder van een zakelijk recht en tegen elke nieuwe houder van een zakelijk recht op de woning. De openbare beheerder moet het openbaar beheer laten inschrijven op het bevoegde kantoor Rechtszekerheid. Ook bij de beëindiging van het openbaar beheer moet dezelfde formaliteit worden vervuld.</w:t>
      </w:r>
    </w:p>
    <w:p w14:paraId="4BC64B10" w14:textId="77777777" w:rsidR="00B8303D" w:rsidRPr="00624BD4" w:rsidRDefault="00B8303D" w:rsidP="00624BD4">
      <w:pPr>
        <w:rPr>
          <w:lang w:val="nl-BE"/>
        </w:rPr>
      </w:pPr>
      <w:r w:rsidRPr="00624BD4">
        <w:rPr>
          <w:lang w:val="nl-BE"/>
        </w:rPr>
        <w:t xml:space="preserve">   Hij is ook verplicht om de stedenbouwkundige dienst van de gemeente waar de woning is gelegen op de hoogte te brengen.</w:t>
      </w:r>
    </w:p>
    <w:p w14:paraId="113A9429" w14:textId="77777777" w:rsidR="00B8303D" w:rsidRPr="00624BD4" w:rsidRDefault="00B8303D" w:rsidP="00624BD4">
      <w:pPr>
        <w:rPr>
          <w:lang w:val="nl-BE"/>
        </w:rPr>
      </w:pPr>
      <w:r w:rsidRPr="00624BD4">
        <w:rPr>
          <w:lang w:val="nl-BE"/>
        </w:rPr>
        <w:t xml:space="preserve">   De woningen in openbaar beheer worden bij voorrang aangeboden aan de in artikel 12 van de Code bedoelde huurders die voldoen aan de voorwaarden voor toegang tot sociale huisvesting. Daartoe brengt de beheerder van de betrokken woning de Gewestelijke Inspectiedienst op de hoogte van de beschikbaarheid van dergelijke woningen.</w:t>
      </w:r>
    </w:p>
    <w:p w14:paraId="0F52993A" w14:textId="77777777" w:rsidR="00B8303D" w:rsidRPr="00624BD4" w:rsidRDefault="00B8303D" w:rsidP="00624BD4">
      <w:pPr>
        <w:rPr>
          <w:lang w:val="nl-BE"/>
        </w:rPr>
      </w:pPr>
      <w:r w:rsidRPr="00624BD4">
        <w:rPr>
          <w:lang w:val="nl-BE"/>
        </w:rPr>
        <w:t xml:space="preserve">   Het Gewest en de openbare beheerders beschikken over een voorkooprecht op het goed dat onder openbaar beheer stond. Ze oefenen dit recht uit volgens de door de Regering vastgelegde modaliteiten.</w:t>
      </w:r>
    </w:p>
    <w:p w14:paraId="6ECCFF9D" w14:textId="77777777" w:rsidR="00B8303D" w:rsidRPr="00624BD4" w:rsidRDefault="00B8303D" w:rsidP="00624BD4">
      <w:pPr>
        <w:rPr>
          <w:lang w:val="nl-BE"/>
        </w:rPr>
      </w:pPr>
      <w:r w:rsidRPr="00624BD4">
        <w:rPr>
          <w:lang w:val="nl-BE"/>
        </w:rPr>
        <w:t xml:space="preserve">   § 2. Inning van de huur</w:t>
      </w:r>
    </w:p>
    <w:p w14:paraId="4977170E" w14:textId="77777777" w:rsidR="00B8303D" w:rsidRPr="00624BD4" w:rsidRDefault="00B8303D" w:rsidP="00624BD4">
      <w:pPr>
        <w:rPr>
          <w:lang w:val="nl-BE"/>
        </w:rPr>
      </w:pPr>
      <w:r w:rsidRPr="00624BD4">
        <w:rPr>
          <w:lang w:val="nl-BE"/>
        </w:rPr>
        <w:t xml:space="preserve">   Zodra de woning is verhuurd, ontvangt de houder van een zakelijk recht de huurprijs, berekend volgens criteria die door de Regering zijn bepaald, na aftrek van alle kosten van de overname van beheer en deze verbonden met het openbaar beheer.</w:t>
      </w:r>
    </w:p>
    <w:p w14:paraId="78BC5903" w14:textId="77777777" w:rsidR="00B8303D" w:rsidRPr="00624BD4" w:rsidRDefault="00B8303D" w:rsidP="00624BD4">
      <w:pPr>
        <w:rPr>
          <w:lang w:val="nl-BE"/>
        </w:rPr>
      </w:pPr>
      <w:r w:rsidRPr="00624BD4">
        <w:rPr>
          <w:lang w:val="nl-BE"/>
        </w:rPr>
        <w:t xml:space="preserve">   § 3. Informatieverstrekking aan de houder van een zakelijk recht</w:t>
      </w:r>
    </w:p>
    <w:p w14:paraId="6CAFBBA0" w14:textId="77777777" w:rsidR="00B8303D" w:rsidRPr="00624BD4" w:rsidRDefault="00B8303D" w:rsidP="00624BD4">
      <w:pPr>
        <w:rPr>
          <w:lang w:val="nl-BE"/>
        </w:rPr>
      </w:pPr>
      <w:r w:rsidRPr="00624BD4">
        <w:rPr>
          <w:lang w:val="nl-BE"/>
        </w:rPr>
        <w:t xml:space="preserve">   In de loop van het openbaar beheer, informeert de openbare beheerder de houder van een zakelijk recht van de essentiële handelingen van dit beheer. De Regering bepaalt de wijze, de inhoud en de minimale verstrekking van deze informatie.</w:t>
      </w:r>
      <w:r>
        <w:rPr>
          <w:lang w:val="nl-BE"/>
        </w:rPr>
        <w:tab/>
      </w:r>
      <w:r>
        <w:rPr>
          <w:lang w:val="nl-BE"/>
        </w:rPr>
        <w:br/>
      </w:r>
    </w:p>
    <w:p w14:paraId="2CBDECED" w14:textId="77777777" w:rsidR="00B8303D" w:rsidRPr="00624BD4" w:rsidRDefault="00B8303D" w:rsidP="00624BD4">
      <w:pPr>
        <w:rPr>
          <w:i/>
          <w:iCs/>
          <w:lang w:val="nl-BE"/>
        </w:rPr>
      </w:pPr>
      <w:r w:rsidRPr="00624BD4">
        <w:rPr>
          <w:i/>
          <w:iCs/>
          <w:lang w:val="nl-BE"/>
        </w:rPr>
        <w:lastRenderedPageBreak/>
        <w:t xml:space="preserve">  Art. 19. Einde van het openbaar beheer</w:t>
      </w:r>
    </w:p>
    <w:p w14:paraId="0D37070F" w14:textId="77777777" w:rsidR="00B8303D" w:rsidRPr="00624BD4" w:rsidRDefault="00B8303D" w:rsidP="00624BD4">
      <w:pPr>
        <w:rPr>
          <w:lang w:val="nl-BE"/>
        </w:rPr>
      </w:pPr>
      <w:r w:rsidRPr="00624BD4">
        <w:rPr>
          <w:lang w:val="nl-BE"/>
        </w:rPr>
        <w:t xml:space="preserve">   § 1. Overname van het beheer van de woning door de houder van een zakelijk recht</w:t>
      </w:r>
    </w:p>
    <w:p w14:paraId="13167E74" w14:textId="77777777" w:rsidR="00B8303D" w:rsidRPr="00624BD4" w:rsidRDefault="00B8303D" w:rsidP="00624BD4">
      <w:pPr>
        <w:rPr>
          <w:lang w:val="nl-BE"/>
        </w:rPr>
      </w:pPr>
      <w:r w:rsidRPr="00624BD4">
        <w:rPr>
          <w:lang w:val="nl-BE"/>
        </w:rPr>
        <w:t xml:space="preserve">   De houder van een zakelijk recht kan vragen om het beheer van zijn woning opnieuw over te nemen zodra die een eerste keer is bewoond als gevolg van het sluiten van een huurovereenkomst.</w:t>
      </w:r>
    </w:p>
    <w:p w14:paraId="60FDDDDD" w14:textId="77777777" w:rsidR="00B8303D" w:rsidRPr="00624BD4" w:rsidRDefault="00B8303D" w:rsidP="00624BD4">
      <w:pPr>
        <w:rPr>
          <w:lang w:val="nl-BE"/>
        </w:rPr>
      </w:pPr>
      <w:r w:rsidRPr="00624BD4">
        <w:rPr>
          <w:lang w:val="nl-BE"/>
        </w:rPr>
        <w:t xml:space="preserve">   Deze vraag wordt per aangetekend schrijven toegezonden aan de openbare beheerder.</w:t>
      </w:r>
    </w:p>
    <w:p w14:paraId="06354A32" w14:textId="77777777" w:rsidR="00B8303D" w:rsidRPr="00624BD4" w:rsidRDefault="00B8303D" w:rsidP="00624BD4">
      <w:pPr>
        <w:rPr>
          <w:lang w:val="nl-BE"/>
        </w:rPr>
      </w:pPr>
      <w:r w:rsidRPr="00624BD4">
        <w:rPr>
          <w:lang w:val="nl-BE"/>
        </w:rPr>
        <w:t xml:space="preserve">   Binnen een maand na de ontvangst van de vraag stelt de openbare beheerder de houder van een zakelijk recht in kennis van de nog terug te betalen kosten van de overname van beheer en deze verbonden aan het openbaar beheer.</w:t>
      </w:r>
    </w:p>
    <w:p w14:paraId="456C0AA6" w14:textId="77777777" w:rsidR="00B8303D" w:rsidRPr="00624BD4" w:rsidRDefault="00B8303D" w:rsidP="00624BD4">
      <w:pPr>
        <w:rPr>
          <w:lang w:val="nl-BE"/>
        </w:rPr>
      </w:pPr>
      <w:r w:rsidRPr="00624BD4">
        <w:rPr>
          <w:lang w:val="nl-BE"/>
        </w:rPr>
        <w:t xml:space="preserve">   De overname van het beheer van de woning door de houder van een zakelijk recht vindt plaats binnen twee maanden te rekenen vanaf de in het vorige lid bedoelde terugbetaling. Binnen tien dagen na de ontvangst van de terugbetaling stelt de openbare beheerder de houder van een zakelijk recht in kennis van de precieze datum van deze overname van beheer.</w:t>
      </w:r>
    </w:p>
    <w:p w14:paraId="5CE15BC5" w14:textId="77777777" w:rsidR="00B8303D" w:rsidRPr="00624BD4" w:rsidRDefault="00B8303D" w:rsidP="00624BD4">
      <w:pPr>
        <w:rPr>
          <w:lang w:val="nl-BE"/>
        </w:rPr>
      </w:pPr>
      <w:r w:rsidRPr="00624BD4">
        <w:rPr>
          <w:lang w:val="nl-BE"/>
        </w:rPr>
        <w:t xml:space="preserve">   Vanaf de datum van de overname van het beheer van de woning zoals bedoeld in het vorige lid, wordt de houder van een zakelijk recht van rechtswege in de rechten en plichten gesteld van de openbare beheerder wat de contractuele band met de huurder betreft.</w:t>
      </w:r>
    </w:p>
    <w:p w14:paraId="4C8A69C2" w14:textId="77777777" w:rsidR="00B8303D" w:rsidRPr="00624BD4" w:rsidRDefault="00B8303D" w:rsidP="00624BD4">
      <w:pPr>
        <w:rPr>
          <w:lang w:val="nl-BE"/>
        </w:rPr>
      </w:pPr>
      <w:r w:rsidRPr="00624BD4">
        <w:rPr>
          <w:lang w:val="nl-BE"/>
        </w:rPr>
        <w:t xml:space="preserve">   2. Regelgeving inzake de huurprijzen</w:t>
      </w:r>
    </w:p>
    <w:p w14:paraId="75082578" w14:textId="77777777" w:rsidR="00B8303D" w:rsidRPr="00624BD4" w:rsidRDefault="00B8303D" w:rsidP="00624BD4">
      <w:pPr>
        <w:rPr>
          <w:lang w:val="nl-BE"/>
        </w:rPr>
      </w:pPr>
      <w:r w:rsidRPr="00624BD4">
        <w:rPr>
          <w:lang w:val="nl-BE"/>
        </w:rPr>
        <w:t xml:space="preserve">   De woning kan alleen worden verhuurd met toepassing van een huurprijs berekend op basis van door de overheid vastgestelde criteria en dit gedurende een periode van minimaal negen jaar vanaf het verhuren van de woning door de openbare beheerder.</w:t>
      </w:r>
    </w:p>
    <w:p w14:paraId="54925F4F" w14:textId="77777777" w:rsidR="00B8303D" w:rsidRPr="00624BD4" w:rsidRDefault="00B8303D" w:rsidP="00624BD4">
      <w:pPr>
        <w:rPr>
          <w:lang w:val="nl-BE"/>
        </w:rPr>
      </w:pPr>
      <w:r w:rsidRPr="00624BD4">
        <w:rPr>
          <w:lang w:val="nl-BE"/>
        </w:rPr>
        <w:t xml:space="preserve">   § 3. Straffen in geval van niet-naleving van de regelgeving inzake de huurprijzen</w:t>
      </w:r>
    </w:p>
    <w:p w14:paraId="0E5F3723" w14:textId="77777777" w:rsidR="00B8303D" w:rsidRPr="00624BD4" w:rsidRDefault="00B8303D" w:rsidP="00624BD4">
      <w:pPr>
        <w:rPr>
          <w:lang w:val="nl-BE"/>
        </w:rPr>
      </w:pPr>
      <w:r w:rsidRPr="00624BD4">
        <w:rPr>
          <w:lang w:val="nl-BE"/>
        </w:rPr>
        <w:t xml:space="preserve">   Bij de niet-naleving van de verplichting bedoeld in paragraaf 2 moet de houder van een zakelijk recht aan de huurder retroactief het verschil terugbetalen tussen de betaalde huurprijs en de huurprijs vermeld in het rooster.</w:t>
      </w:r>
    </w:p>
    <w:p w14:paraId="75D30098" w14:textId="77777777" w:rsidR="00B8303D" w:rsidRPr="00624BD4" w:rsidRDefault="00B8303D" w:rsidP="00624BD4">
      <w:pPr>
        <w:rPr>
          <w:lang w:val="nl-BE"/>
        </w:rPr>
      </w:pPr>
      <w:r w:rsidRPr="00624BD4">
        <w:rPr>
          <w:lang w:val="nl-BE"/>
        </w:rPr>
        <w:t xml:space="preserve">   Daarenboven zal de leidende ambtenaar van de Gewestelijke Dienst Leegstaande Woningen de houder van het zakelijke recht een administratieve boete opleggen die overeenstemt met twee maanden de huurprijs gevraagd aan de huurder. De regering zal daarvan de procedure bepalen.</w:t>
      </w:r>
    </w:p>
    <w:p w14:paraId="3ACAC0FA" w14:textId="77777777" w:rsidR="00B8303D" w:rsidRPr="00624BD4" w:rsidRDefault="00B8303D" w:rsidP="00624BD4">
      <w:pPr>
        <w:rPr>
          <w:lang w:val="nl-BE"/>
        </w:rPr>
      </w:pPr>
      <w:r w:rsidRPr="00624BD4">
        <w:rPr>
          <w:lang w:val="nl-BE"/>
        </w:rPr>
        <w:t xml:space="preserve">   § 4. Invordering van de boete</w:t>
      </w:r>
    </w:p>
    <w:p w14:paraId="0F5A171B" w14:textId="77777777" w:rsidR="00B8303D" w:rsidRPr="00624BD4" w:rsidRDefault="00B8303D" w:rsidP="00624BD4">
      <w:pPr>
        <w:rPr>
          <w:lang w:val="nl-BE"/>
        </w:rPr>
      </w:pPr>
      <w:r w:rsidRPr="00624BD4">
        <w:rPr>
          <w:lang w:val="nl-BE"/>
        </w:rPr>
        <w:t xml:space="preserve">   De gezamenlijke houders van een zakelijk recht op de woning zijn hoofdelijk aansprakelijk voor de betaling van de boete.</w:t>
      </w:r>
    </w:p>
    <w:p w14:paraId="0E3529F3" w14:textId="77777777" w:rsidR="00B8303D" w:rsidRPr="00624BD4" w:rsidRDefault="00B8303D" w:rsidP="00624BD4">
      <w:pPr>
        <w:rPr>
          <w:lang w:val="nl-BE"/>
        </w:rPr>
      </w:pPr>
      <w:r w:rsidRPr="00624BD4">
        <w:rPr>
          <w:lang w:val="nl-BE"/>
        </w:rPr>
        <w:t xml:space="preserve">   De boete wordt geïnd en gevorderd overeenkomstig de bepalingen van de organieke ordonnantie van 23 februari 2006 houdende de bepalingen die van toepassing zijn op de begroting, de boekhouding en de controle, en het besluit van de Brusselse Hoofdstedelijke Regering van 19 februari 2006 betreffende de financiële actoren.</w:t>
      </w:r>
    </w:p>
    <w:p w14:paraId="2896F92A" w14:textId="77777777" w:rsidR="00B8303D" w:rsidRPr="00624BD4" w:rsidRDefault="00B8303D" w:rsidP="00624BD4">
      <w:pPr>
        <w:rPr>
          <w:lang w:val="nl-BE"/>
        </w:rPr>
      </w:pPr>
      <w:r w:rsidRPr="00624BD4">
        <w:rPr>
          <w:lang w:val="nl-BE"/>
        </w:rPr>
        <w:t xml:space="preserve">   Indien de geldboete niet binnen de vooropgestelde termijnen wordt betaald, vaardigt de door de Regering aangestelde ambtenaar een dwangbevel uit. Het dwangbevel wordt door voornoemde ambtenaar geviseerd en uitvoerbaar verklaard.</w:t>
      </w:r>
    </w:p>
    <w:p w14:paraId="42E18857" w14:textId="77777777" w:rsidR="00B8303D" w:rsidRDefault="00B8303D" w:rsidP="00624BD4">
      <w:pPr>
        <w:rPr>
          <w:lang w:val="nl-BE"/>
        </w:rPr>
      </w:pPr>
      <w:r w:rsidRPr="00624BD4">
        <w:rPr>
          <w:lang w:val="nl-BE"/>
        </w:rPr>
        <w:t xml:space="preserve">   De opbrengst van de geldboeten wordt gestort in het " Fonds openbaar beheersrecht ", zoals bedoeld in artikel 22, § 2.</w:t>
      </w:r>
    </w:p>
    <w:p w14:paraId="61384167" w14:textId="77777777" w:rsidR="00B8303D" w:rsidRDefault="00B8303D" w:rsidP="00624BD4">
      <w:pPr>
        <w:rPr>
          <w:lang w:val="nl-BE"/>
        </w:rPr>
      </w:pPr>
      <w:r>
        <w:rPr>
          <w:lang w:val="nl-BE"/>
        </w:rPr>
        <w:t>(…)</w:t>
      </w:r>
    </w:p>
    <w:p w14:paraId="4631F76A" w14:textId="77777777" w:rsidR="00B8303D" w:rsidRPr="00624BD4" w:rsidRDefault="00B8303D" w:rsidP="00624BD4">
      <w:pPr>
        <w:rPr>
          <w:i/>
          <w:iCs/>
          <w:lang w:val="nl-BE"/>
        </w:rPr>
      </w:pPr>
      <w:r w:rsidRPr="00624BD4">
        <w:rPr>
          <w:i/>
          <w:iCs/>
          <w:lang w:val="nl-BE"/>
        </w:rPr>
        <w:t>Art. 19/2. Definitie van een leegstaande woning</w:t>
      </w:r>
    </w:p>
    <w:p w14:paraId="09D68016" w14:textId="1FDD79D1" w:rsidR="00B8303D" w:rsidRPr="00624BD4" w:rsidRDefault="00B8303D" w:rsidP="00624BD4">
      <w:pPr>
        <w:rPr>
          <w:lang w:val="nl-BE"/>
        </w:rPr>
      </w:pPr>
      <w:r w:rsidRPr="00624BD4">
        <w:rPr>
          <w:lang w:val="nl-BE"/>
        </w:rPr>
        <w:t xml:space="preserve">   Is een leegstaande woning : het gebouw of het deel van het gebouw dat sinds meer dan twaalf opeenvolgende maanden niet is ingenomen in overeenstemming met zijn bestemming als huisvesting.</w:t>
      </w:r>
    </w:p>
    <w:p w14:paraId="62D5FA24" w14:textId="77777777" w:rsidR="00B8303D" w:rsidRPr="00B8303D" w:rsidRDefault="00B8303D" w:rsidP="00D45337">
      <w:pPr>
        <w:rPr>
          <w:lang w:val="nl-BE"/>
        </w:rPr>
      </w:pPr>
    </w:p>
    <w:sectPr w:rsidR="00B8303D" w:rsidRPr="00B8303D" w:rsidSect="00B8303D">
      <w:type w:val="continuous"/>
      <w:pgSz w:w="11906" w:h="16838" w:code="9"/>
      <w:pgMar w:top="709" w:right="1418" w:bottom="624" w:left="1559"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C0A9" w14:textId="77777777" w:rsidR="003F7285" w:rsidRDefault="003F7285">
      <w:pPr>
        <w:spacing w:after="0" w:line="240" w:lineRule="auto"/>
      </w:pPr>
      <w:r>
        <w:separator/>
      </w:r>
    </w:p>
  </w:endnote>
  <w:endnote w:type="continuationSeparator" w:id="0">
    <w:p w14:paraId="08B69FF0" w14:textId="77777777" w:rsidR="003F7285" w:rsidRDefault="003F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9BC7" w14:textId="77777777" w:rsidR="00C1730D" w:rsidRDefault="00774E2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81130"/>
      <w:docPartObj>
        <w:docPartGallery w:val="Page Numbers (Bottom of Page)"/>
        <w:docPartUnique/>
      </w:docPartObj>
    </w:sdtPr>
    <w:sdtContent>
      <w:p w14:paraId="7166BE38" w14:textId="77777777" w:rsidR="00540ED9" w:rsidRDefault="00774E25">
        <w:pPr>
          <w:pStyle w:val="Pieddepage"/>
          <w:jc w:val="right"/>
        </w:pPr>
        <w:r>
          <w:rPr>
            <w:noProof/>
            <w:lang w:eastAsia="fr-BE"/>
          </w:rPr>
          <mc:AlternateContent>
            <mc:Choice Requires="wps">
              <w:drawing>
                <wp:anchor distT="0" distB="0" distL="114300" distR="114300" simplePos="0" relativeHeight="251661312" behindDoc="0" locked="0" layoutInCell="1" allowOverlap="1" wp14:anchorId="6DBBE6D4" wp14:editId="5C933E3D">
                  <wp:simplePos x="0" y="0"/>
                  <wp:positionH relativeFrom="page">
                    <wp:align>right</wp:align>
                  </wp:positionH>
                  <wp:positionV relativeFrom="paragraph">
                    <wp:posOffset>0</wp:posOffset>
                  </wp:positionV>
                  <wp:extent cx="442595" cy="44767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44259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C96A" w14:textId="77777777" w:rsidR="0084464D" w:rsidRPr="0063361E" w:rsidRDefault="00774E25"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2</w:t>
                              </w:r>
                              <w:r w:rsidRPr="0063361E">
                                <w:rPr>
                                  <w:sz w:val="16"/>
                                  <w:szCs w:val="16"/>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DBBE6D4" id="_x0000_t202" coordsize="21600,21600" o:spt="202" path="m,l,21600r21600,l21600,xe">
                  <v:stroke joinstyle="miter"/>
                  <v:path gradientshapeok="t" o:connecttype="rect"/>
                </v:shapetype>
                <v:shape id="Zone de texte 3" o:spid="_x0000_s1026" type="#_x0000_t202" style="position:absolute;left:0;text-align:left;margin-left:-16.35pt;margin-top:0;width:34.85pt;height:35.2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" fillcolor="white [3201]" stroked="f" strokeweight=".5pt">
                  <v:textbox>
                    <w:txbxContent>
                      <w:p w14:paraId="61B4C96A" w14:textId="77777777" w:rsidR="0084464D" w:rsidRPr="0063361E" w:rsidRDefault="00774E25"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2</w:t>
                        </w:r>
                        <w:r w:rsidRPr="0063361E">
                          <w:rPr>
                            <w:sz w:val="16"/>
                            <w:szCs w:val="16"/>
                          </w:rPr>
                          <w:fldChar w:fldCharType="end"/>
                        </w:r>
                      </w:p>
                    </w:txbxContent>
                  </v:textbox>
                  <w10:wrap anchorx="page"/>
                </v:shape>
              </w:pict>
            </mc:Fallback>
          </mc:AlternateContent>
        </w:r>
      </w:p>
    </w:sdtContent>
  </w:sdt>
  <w:p w14:paraId="0D9C5352" w14:textId="77777777" w:rsidR="00540ED9" w:rsidRDefault="00540E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441708"/>
      <w:docPartObj>
        <w:docPartGallery w:val="Page Numbers (Bottom of Page)"/>
        <w:docPartUnique/>
      </w:docPartObj>
    </w:sdtPr>
    <w:sdtContent>
      <w:p w14:paraId="5FED22CF" w14:textId="77777777" w:rsidR="00540ED9" w:rsidRDefault="00774E25">
        <w:pPr>
          <w:pStyle w:val="Pieddepage"/>
          <w:jc w:val="right"/>
        </w:pPr>
        <w:r>
          <w:rPr>
            <w:noProof/>
            <w:lang w:eastAsia="fr-BE"/>
          </w:rPr>
          <mc:AlternateContent>
            <mc:Choice Requires="wps">
              <w:drawing>
                <wp:anchor distT="0" distB="0" distL="114300" distR="114300" simplePos="0" relativeHeight="251659264" behindDoc="0" locked="0" layoutInCell="1" allowOverlap="1" wp14:anchorId="17C7814E" wp14:editId="5BB84A54">
                  <wp:simplePos x="0" y="0"/>
                  <wp:positionH relativeFrom="page">
                    <wp:align>right</wp:align>
                  </wp:positionH>
                  <wp:positionV relativeFrom="paragraph">
                    <wp:posOffset>-9525</wp:posOffset>
                  </wp:positionV>
                  <wp:extent cx="442595" cy="4476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44259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3F226" w14:textId="77777777" w:rsidR="0084464D" w:rsidRPr="0063361E" w:rsidRDefault="00774E25"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1</w:t>
                              </w:r>
                              <w:r w:rsidRPr="0063361E">
                                <w:rPr>
                                  <w:sz w:val="16"/>
                                  <w:szCs w:val="16"/>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7C7814E" id="_x0000_t202" coordsize="21600,21600" o:spt="202" path="m,l,21600r21600,l21600,xe">
                  <v:stroke joinstyle="miter"/>
                  <v:path gradientshapeok="t" o:connecttype="rect"/>
                </v:shapetype>
                <v:shape id="Zone de texte 4" o:spid="_x0000_s1027" type="#_x0000_t202" style="position:absolute;left:0;text-align:left;margin-left:-16.35pt;margin-top:-.75pt;width:34.85pt;height:35.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" fillcolor="white [3201]" stroked="f" strokeweight=".5pt">
                  <v:textbox>
                    <w:txbxContent>
                      <w:p w14:paraId="5EA3F226" w14:textId="77777777" w:rsidR="0084464D" w:rsidRPr="0063361E" w:rsidRDefault="00774E25"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1</w:t>
                        </w:r>
                        <w:r w:rsidRPr="0063361E">
                          <w:rPr>
                            <w:sz w:val="16"/>
                            <w:szCs w:val="16"/>
                          </w:rPr>
                          <w:fldChar w:fldCharType="end"/>
                        </w:r>
                      </w:p>
                    </w:txbxContent>
                  </v:textbox>
                  <w10:wrap anchorx="page"/>
                </v:shape>
              </w:pict>
            </mc:Fallback>
          </mc:AlternateContent>
        </w:r>
      </w:p>
    </w:sdtContent>
  </w:sdt>
  <w:p w14:paraId="275D3AFD" w14:textId="77777777" w:rsidR="00540ED9" w:rsidRDefault="00540E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E87B" w14:textId="77777777" w:rsidR="003F7285" w:rsidRDefault="003F7285" w:rsidP="009031B4">
      <w:pPr>
        <w:spacing w:after="0" w:line="240" w:lineRule="auto"/>
      </w:pPr>
      <w:r>
        <w:separator/>
      </w:r>
    </w:p>
  </w:footnote>
  <w:footnote w:type="continuationSeparator" w:id="0">
    <w:p w14:paraId="3CF1C663" w14:textId="77777777" w:rsidR="003F7285" w:rsidRDefault="003F7285" w:rsidP="009031B4">
      <w:pPr>
        <w:spacing w:after="0" w:line="240" w:lineRule="auto"/>
      </w:pPr>
      <w:r>
        <w:continuationSeparator/>
      </w:r>
    </w:p>
  </w:footnote>
  <w:footnote w:type="continuationNotice" w:id="1">
    <w:p w14:paraId="24FCE514" w14:textId="77777777" w:rsidR="003F7285" w:rsidRDefault="003F7285">
      <w:pPr>
        <w:spacing w:after="0" w:line="240" w:lineRule="auto"/>
      </w:pPr>
    </w:p>
  </w:footnote>
  <w:footnote w:id="2">
    <w:p w14:paraId="240507C6" w14:textId="504464E6" w:rsidR="005F03C3" w:rsidRDefault="005F03C3">
      <w:pPr>
        <w:pStyle w:val="Notedebasdepage"/>
      </w:pPr>
      <w:r>
        <w:rPr>
          <w:rStyle w:val="Appelnotedebasdep"/>
        </w:rPr>
        <w:footnoteRef/>
      </w:r>
      <w:r>
        <w:t xml:space="preserve"> </w:t>
      </w:r>
      <w:r w:rsidR="001E066B">
        <w:t>Artikel 17 van de Brusselse Huisvestingscode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1EA0" w14:textId="53CD60DD" w:rsidR="00A5746A" w:rsidRDefault="00A5746A">
    <w:pPr>
      <w:pStyle w:val="En-tte"/>
      <w:rPr>
        <w:noProof/>
        <w:lang w:eastAsia="fr-BE"/>
      </w:rPr>
    </w:pPr>
  </w:p>
  <w:p w14:paraId="6C39C9D9" w14:textId="77777777" w:rsidR="006C5D8D" w:rsidRDefault="006C5D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3690" w14:textId="59BA0C22" w:rsidR="006B0510" w:rsidRPr="008B6BC3" w:rsidRDefault="00774E25" w:rsidP="0014324D">
    <w:pPr>
      <w:tabs>
        <w:tab w:val="left" w:pos="3120"/>
      </w:tabs>
      <w:rPr>
        <w:lang w:val="nl-BE"/>
      </w:rPr>
    </w:pPr>
    <w:r>
      <w:rPr>
        <w:rFonts w:eastAsia="Arial" w:cs="Arial"/>
        <w:i/>
        <w:iCs/>
        <w:szCs w:val="20"/>
        <w:bdr w:val="nil"/>
        <w:lang w:val="nl-BE"/>
      </w:rPr>
      <w:t xml:space="preserve">Onderstaand model werd opgesteld door de Gewestelijke Overheidsdienst Brussel in uitvoering van de artikelen 15 tot 19 van de Brusselse Huisvestingscode. Het gaat om een niet-verplicht en dus informatief model (behalve wat betreft de minimale vermeldingen vervat in artikel 16, § 2 van de Brusselse Huisvestingscode en de artikelen 3 en 4 van het besluit van de BHR van </w:t>
    </w:r>
    <w:r w:rsidR="00460981" w:rsidRPr="00460981">
      <w:rPr>
        <w:rFonts w:eastAsia="Arial" w:cs="Arial"/>
        <w:i/>
        <w:iCs/>
        <w:szCs w:val="20"/>
        <w:bdr w:val="nil"/>
        <w:lang w:val="nl-BE"/>
      </w:rPr>
      <w:t>10 november 2022</w:t>
    </w:r>
    <w:r>
      <w:rPr>
        <w:rFonts w:eastAsia="Arial" w:cs="Arial"/>
        <w:i/>
        <w:iCs/>
        <w:szCs w:val="20"/>
        <w:bdr w:val="nil"/>
        <w:lang w:val="nl-B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7E0D"/>
    <w:multiLevelType w:val="hybridMultilevel"/>
    <w:tmpl w:val="FEC6777E"/>
    <w:lvl w:ilvl="0" w:tplc="F1DC1F0E">
      <w:start w:val="1"/>
      <w:numFmt w:val="bullet"/>
      <w:lvlText w:val="­"/>
      <w:lvlJc w:val="left"/>
      <w:pPr>
        <w:ind w:left="720" w:hanging="360"/>
      </w:pPr>
      <w:rPr>
        <w:rFonts w:ascii="Courier New" w:hAnsi="Courier New" w:hint="default"/>
      </w:rPr>
    </w:lvl>
    <w:lvl w:ilvl="1" w:tplc="C7E40CAA" w:tentative="1">
      <w:start w:val="1"/>
      <w:numFmt w:val="bullet"/>
      <w:lvlText w:val="o"/>
      <w:lvlJc w:val="left"/>
      <w:pPr>
        <w:ind w:left="1440" w:hanging="360"/>
      </w:pPr>
      <w:rPr>
        <w:rFonts w:ascii="Courier New" w:hAnsi="Courier New" w:cs="Courier New" w:hint="default"/>
      </w:rPr>
    </w:lvl>
    <w:lvl w:ilvl="2" w:tplc="545A5058" w:tentative="1">
      <w:start w:val="1"/>
      <w:numFmt w:val="bullet"/>
      <w:lvlText w:val=""/>
      <w:lvlJc w:val="left"/>
      <w:pPr>
        <w:ind w:left="2160" w:hanging="360"/>
      </w:pPr>
      <w:rPr>
        <w:rFonts w:ascii="Wingdings" w:hAnsi="Wingdings" w:hint="default"/>
      </w:rPr>
    </w:lvl>
    <w:lvl w:ilvl="3" w:tplc="D812E914" w:tentative="1">
      <w:start w:val="1"/>
      <w:numFmt w:val="bullet"/>
      <w:lvlText w:val=""/>
      <w:lvlJc w:val="left"/>
      <w:pPr>
        <w:ind w:left="2880" w:hanging="360"/>
      </w:pPr>
      <w:rPr>
        <w:rFonts w:ascii="Symbol" w:hAnsi="Symbol" w:hint="default"/>
      </w:rPr>
    </w:lvl>
    <w:lvl w:ilvl="4" w:tplc="333AB79A" w:tentative="1">
      <w:start w:val="1"/>
      <w:numFmt w:val="bullet"/>
      <w:lvlText w:val="o"/>
      <w:lvlJc w:val="left"/>
      <w:pPr>
        <w:ind w:left="3600" w:hanging="360"/>
      </w:pPr>
      <w:rPr>
        <w:rFonts w:ascii="Courier New" w:hAnsi="Courier New" w:cs="Courier New" w:hint="default"/>
      </w:rPr>
    </w:lvl>
    <w:lvl w:ilvl="5" w:tplc="3764734A" w:tentative="1">
      <w:start w:val="1"/>
      <w:numFmt w:val="bullet"/>
      <w:lvlText w:val=""/>
      <w:lvlJc w:val="left"/>
      <w:pPr>
        <w:ind w:left="4320" w:hanging="360"/>
      </w:pPr>
      <w:rPr>
        <w:rFonts w:ascii="Wingdings" w:hAnsi="Wingdings" w:hint="default"/>
      </w:rPr>
    </w:lvl>
    <w:lvl w:ilvl="6" w:tplc="3A4037B8" w:tentative="1">
      <w:start w:val="1"/>
      <w:numFmt w:val="bullet"/>
      <w:lvlText w:val=""/>
      <w:lvlJc w:val="left"/>
      <w:pPr>
        <w:ind w:left="5040" w:hanging="360"/>
      </w:pPr>
      <w:rPr>
        <w:rFonts w:ascii="Symbol" w:hAnsi="Symbol" w:hint="default"/>
      </w:rPr>
    </w:lvl>
    <w:lvl w:ilvl="7" w:tplc="F00A768E" w:tentative="1">
      <w:start w:val="1"/>
      <w:numFmt w:val="bullet"/>
      <w:lvlText w:val="o"/>
      <w:lvlJc w:val="left"/>
      <w:pPr>
        <w:ind w:left="5760" w:hanging="360"/>
      </w:pPr>
      <w:rPr>
        <w:rFonts w:ascii="Courier New" w:hAnsi="Courier New" w:cs="Courier New" w:hint="default"/>
      </w:rPr>
    </w:lvl>
    <w:lvl w:ilvl="8" w:tplc="CBE0D81C" w:tentative="1">
      <w:start w:val="1"/>
      <w:numFmt w:val="bullet"/>
      <w:lvlText w:val=""/>
      <w:lvlJc w:val="left"/>
      <w:pPr>
        <w:ind w:left="6480" w:hanging="360"/>
      </w:pPr>
      <w:rPr>
        <w:rFonts w:ascii="Wingdings" w:hAnsi="Wingdings" w:hint="default"/>
      </w:rPr>
    </w:lvl>
  </w:abstractNum>
  <w:num w:numId="1" w16cid:durableId="42260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3E"/>
    <w:rsid w:val="00000C8F"/>
    <w:rsid w:val="0000340B"/>
    <w:rsid w:val="00022F11"/>
    <w:rsid w:val="00025591"/>
    <w:rsid w:val="00036E91"/>
    <w:rsid w:val="00046686"/>
    <w:rsid w:val="00053B11"/>
    <w:rsid w:val="00056E01"/>
    <w:rsid w:val="00081C74"/>
    <w:rsid w:val="000B5C2D"/>
    <w:rsid w:val="000B7FF2"/>
    <w:rsid w:val="000F5454"/>
    <w:rsid w:val="001224D0"/>
    <w:rsid w:val="00133962"/>
    <w:rsid w:val="00141FC8"/>
    <w:rsid w:val="0014324D"/>
    <w:rsid w:val="00150ABE"/>
    <w:rsid w:val="0015623E"/>
    <w:rsid w:val="00160FB4"/>
    <w:rsid w:val="00170FFB"/>
    <w:rsid w:val="00187C18"/>
    <w:rsid w:val="00191282"/>
    <w:rsid w:val="001937A3"/>
    <w:rsid w:val="001A034C"/>
    <w:rsid w:val="001E066B"/>
    <w:rsid w:val="00203BBA"/>
    <w:rsid w:val="00213AE7"/>
    <w:rsid w:val="002263CB"/>
    <w:rsid w:val="00263983"/>
    <w:rsid w:val="00272E39"/>
    <w:rsid w:val="00276F7F"/>
    <w:rsid w:val="0028659B"/>
    <w:rsid w:val="00290A4A"/>
    <w:rsid w:val="002C084A"/>
    <w:rsid w:val="002C1F1D"/>
    <w:rsid w:val="002F0D32"/>
    <w:rsid w:val="002F42B8"/>
    <w:rsid w:val="00303481"/>
    <w:rsid w:val="003062C5"/>
    <w:rsid w:val="00326C91"/>
    <w:rsid w:val="0033300B"/>
    <w:rsid w:val="00336E4A"/>
    <w:rsid w:val="00345C3F"/>
    <w:rsid w:val="00360FA0"/>
    <w:rsid w:val="00362352"/>
    <w:rsid w:val="003869F3"/>
    <w:rsid w:val="003A16FD"/>
    <w:rsid w:val="003A2D30"/>
    <w:rsid w:val="003A4F1B"/>
    <w:rsid w:val="003B00B4"/>
    <w:rsid w:val="003D5ABE"/>
    <w:rsid w:val="003D78E9"/>
    <w:rsid w:val="003E6849"/>
    <w:rsid w:val="003F7285"/>
    <w:rsid w:val="00404791"/>
    <w:rsid w:val="0040695B"/>
    <w:rsid w:val="00415C97"/>
    <w:rsid w:val="00420CA4"/>
    <w:rsid w:val="00423794"/>
    <w:rsid w:val="00435035"/>
    <w:rsid w:val="00446D20"/>
    <w:rsid w:val="00460981"/>
    <w:rsid w:val="004A5D1E"/>
    <w:rsid w:val="004B5886"/>
    <w:rsid w:val="004C13F6"/>
    <w:rsid w:val="004E06DD"/>
    <w:rsid w:val="00502B3B"/>
    <w:rsid w:val="00503F48"/>
    <w:rsid w:val="00537E92"/>
    <w:rsid w:val="00540ED9"/>
    <w:rsid w:val="00542A79"/>
    <w:rsid w:val="00547C58"/>
    <w:rsid w:val="00552C18"/>
    <w:rsid w:val="0056370D"/>
    <w:rsid w:val="00563A53"/>
    <w:rsid w:val="00565C70"/>
    <w:rsid w:val="00572C94"/>
    <w:rsid w:val="00584358"/>
    <w:rsid w:val="00587C97"/>
    <w:rsid w:val="005A03D9"/>
    <w:rsid w:val="005B7A5B"/>
    <w:rsid w:val="005C5241"/>
    <w:rsid w:val="005D2FA2"/>
    <w:rsid w:val="005D5490"/>
    <w:rsid w:val="005F001C"/>
    <w:rsid w:val="005F03C3"/>
    <w:rsid w:val="005F2FE9"/>
    <w:rsid w:val="006227C3"/>
    <w:rsid w:val="0063361E"/>
    <w:rsid w:val="006343D4"/>
    <w:rsid w:val="00643CB1"/>
    <w:rsid w:val="006568B4"/>
    <w:rsid w:val="006757CC"/>
    <w:rsid w:val="006760E0"/>
    <w:rsid w:val="0068019C"/>
    <w:rsid w:val="006A03B8"/>
    <w:rsid w:val="006A1BFD"/>
    <w:rsid w:val="006B0510"/>
    <w:rsid w:val="006C4D94"/>
    <w:rsid w:val="006C5D8D"/>
    <w:rsid w:val="006C6B5D"/>
    <w:rsid w:val="007163F0"/>
    <w:rsid w:val="0071762F"/>
    <w:rsid w:val="00720723"/>
    <w:rsid w:val="00726D19"/>
    <w:rsid w:val="00747BB0"/>
    <w:rsid w:val="00773423"/>
    <w:rsid w:val="00774E25"/>
    <w:rsid w:val="007A5C3E"/>
    <w:rsid w:val="007B10FB"/>
    <w:rsid w:val="007C347E"/>
    <w:rsid w:val="007D447A"/>
    <w:rsid w:val="007E18B4"/>
    <w:rsid w:val="00835378"/>
    <w:rsid w:val="00840A83"/>
    <w:rsid w:val="0084190D"/>
    <w:rsid w:val="0084464D"/>
    <w:rsid w:val="00886A64"/>
    <w:rsid w:val="008A796B"/>
    <w:rsid w:val="008B254D"/>
    <w:rsid w:val="008B6BC3"/>
    <w:rsid w:val="008B7312"/>
    <w:rsid w:val="008C1001"/>
    <w:rsid w:val="008C3DE8"/>
    <w:rsid w:val="008E2915"/>
    <w:rsid w:val="009031B4"/>
    <w:rsid w:val="00944CD8"/>
    <w:rsid w:val="00944DA1"/>
    <w:rsid w:val="00950EDF"/>
    <w:rsid w:val="00957CBC"/>
    <w:rsid w:val="009725E5"/>
    <w:rsid w:val="009C79C9"/>
    <w:rsid w:val="009F1B68"/>
    <w:rsid w:val="00A05250"/>
    <w:rsid w:val="00A0777B"/>
    <w:rsid w:val="00A078A1"/>
    <w:rsid w:val="00A14A7B"/>
    <w:rsid w:val="00A2388D"/>
    <w:rsid w:val="00A5746A"/>
    <w:rsid w:val="00A62894"/>
    <w:rsid w:val="00A67933"/>
    <w:rsid w:val="00A825B6"/>
    <w:rsid w:val="00A9239A"/>
    <w:rsid w:val="00A96F67"/>
    <w:rsid w:val="00AA179C"/>
    <w:rsid w:val="00AA485E"/>
    <w:rsid w:val="00AC442D"/>
    <w:rsid w:val="00AF7900"/>
    <w:rsid w:val="00B04F20"/>
    <w:rsid w:val="00B1113F"/>
    <w:rsid w:val="00B116CD"/>
    <w:rsid w:val="00B11D03"/>
    <w:rsid w:val="00B43625"/>
    <w:rsid w:val="00B609D8"/>
    <w:rsid w:val="00B67921"/>
    <w:rsid w:val="00B712F6"/>
    <w:rsid w:val="00B73FC5"/>
    <w:rsid w:val="00B77112"/>
    <w:rsid w:val="00B8303D"/>
    <w:rsid w:val="00BA2C91"/>
    <w:rsid w:val="00BC1925"/>
    <w:rsid w:val="00BC3B97"/>
    <w:rsid w:val="00BE271D"/>
    <w:rsid w:val="00BE313E"/>
    <w:rsid w:val="00BF3770"/>
    <w:rsid w:val="00C0756A"/>
    <w:rsid w:val="00C1730D"/>
    <w:rsid w:val="00C239E6"/>
    <w:rsid w:val="00C37B0B"/>
    <w:rsid w:val="00C4480F"/>
    <w:rsid w:val="00C50ECA"/>
    <w:rsid w:val="00C71B2D"/>
    <w:rsid w:val="00C80E6F"/>
    <w:rsid w:val="00C82577"/>
    <w:rsid w:val="00CA48F9"/>
    <w:rsid w:val="00CD7A0A"/>
    <w:rsid w:val="00CE03D7"/>
    <w:rsid w:val="00CE1A2D"/>
    <w:rsid w:val="00D17549"/>
    <w:rsid w:val="00D45337"/>
    <w:rsid w:val="00D92D34"/>
    <w:rsid w:val="00D9523F"/>
    <w:rsid w:val="00DA2CF9"/>
    <w:rsid w:val="00DD67A6"/>
    <w:rsid w:val="00DF57CD"/>
    <w:rsid w:val="00E03B81"/>
    <w:rsid w:val="00E11462"/>
    <w:rsid w:val="00E13FF9"/>
    <w:rsid w:val="00E33479"/>
    <w:rsid w:val="00E47CBB"/>
    <w:rsid w:val="00E51F8F"/>
    <w:rsid w:val="00E532D0"/>
    <w:rsid w:val="00E72DBB"/>
    <w:rsid w:val="00E76A32"/>
    <w:rsid w:val="00EB100C"/>
    <w:rsid w:val="00EC2AB7"/>
    <w:rsid w:val="00ED4DC8"/>
    <w:rsid w:val="00F0308A"/>
    <w:rsid w:val="00F04346"/>
    <w:rsid w:val="00F114D2"/>
    <w:rsid w:val="00F13E0B"/>
    <w:rsid w:val="00F65F4A"/>
    <w:rsid w:val="00F843BA"/>
    <w:rsid w:val="00FE59E5"/>
    <w:rsid w:val="00FE6780"/>
    <w:rsid w:val="00FE78BE"/>
    <w:rsid w:val="00FF30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5427A"/>
  <w15:docId w15:val="{B51DFBF8-C9ED-4ACC-8F94-5E32B606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921"/>
    <w:pPr>
      <w:jc w:val="both"/>
    </w:pPr>
    <w:rPr>
      <w:rFonts w:ascii="Arial" w:hAnsi="Arial"/>
      <w:sz w:val="20"/>
    </w:rPr>
  </w:style>
  <w:style w:type="paragraph" w:styleId="Titre1">
    <w:name w:val="heading 1"/>
    <w:basedOn w:val="Normal"/>
    <w:next w:val="Normal"/>
    <w:link w:val="Titre1Car"/>
    <w:uiPriority w:val="9"/>
    <w:qFormat/>
    <w:rsid w:val="006227C3"/>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6227C3"/>
    <w:pPr>
      <w:keepNext/>
      <w:keepLines/>
      <w:spacing w:before="200" w:after="0"/>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7C3"/>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semiHidden/>
    <w:rsid w:val="006227C3"/>
    <w:rPr>
      <w:rFonts w:ascii="Arial" w:eastAsiaTheme="majorEastAsia" w:hAnsi="Arial" w:cstheme="majorBidi"/>
      <w:b/>
      <w:bCs/>
      <w:i/>
      <w:iCs/>
      <w:color w:val="4F81BD" w:themeColor="accent1"/>
      <w:sz w:val="20"/>
    </w:rPr>
  </w:style>
  <w:style w:type="character" w:customStyle="1" w:styleId="Mot-cl">
    <w:name w:val="Mot-clé"/>
    <w:basedOn w:val="Policepardfaut"/>
    <w:uiPriority w:val="1"/>
    <w:locked/>
    <w:rsid w:val="00A14A7B"/>
    <w:rPr>
      <w:rFonts w:ascii="Arial" w:hAnsi="Arial"/>
      <w:b/>
      <w:smallCaps/>
      <w:dstrike w:val="0"/>
      <w:sz w:val="18"/>
      <w:vertAlign w:val="baseline"/>
    </w:rPr>
  </w:style>
  <w:style w:type="paragraph" w:styleId="Textedebulles">
    <w:name w:val="Balloon Text"/>
    <w:basedOn w:val="Normal"/>
    <w:link w:val="TextedebullesCar"/>
    <w:uiPriority w:val="99"/>
    <w:semiHidden/>
    <w:unhideWhenUsed/>
    <w:rsid w:val="004237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794"/>
    <w:rPr>
      <w:rFonts w:ascii="Tahoma" w:hAnsi="Tahoma" w:cs="Tahoma"/>
      <w:sz w:val="16"/>
      <w:szCs w:val="16"/>
    </w:rPr>
  </w:style>
  <w:style w:type="table" w:styleId="Grilledutableau">
    <w:name w:val="Table Grid"/>
    <w:basedOn w:val="TableauNormal"/>
    <w:uiPriority w:val="59"/>
    <w:rsid w:val="0042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31B4"/>
    <w:pPr>
      <w:tabs>
        <w:tab w:val="center" w:pos="4536"/>
        <w:tab w:val="right" w:pos="9072"/>
      </w:tabs>
      <w:spacing w:after="0" w:line="240" w:lineRule="auto"/>
    </w:pPr>
  </w:style>
  <w:style w:type="character" w:customStyle="1" w:styleId="En-tteCar">
    <w:name w:val="En-tête Car"/>
    <w:basedOn w:val="Policepardfaut"/>
    <w:link w:val="En-tte"/>
    <w:uiPriority w:val="99"/>
    <w:rsid w:val="009031B4"/>
    <w:rPr>
      <w:rFonts w:ascii="Arial" w:hAnsi="Arial"/>
      <w:sz w:val="20"/>
    </w:rPr>
  </w:style>
  <w:style w:type="paragraph" w:styleId="Pieddepage">
    <w:name w:val="footer"/>
    <w:basedOn w:val="Normal"/>
    <w:link w:val="PieddepageCar"/>
    <w:uiPriority w:val="99"/>
    <w:unhideWhenUsed/>
    <w:rsid w:val="009031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1B4"/>
    <w:rPr>
      <w:rFonts w:ascii="Arial" w:hAnsi="Arial"/>
      <w:sz w:val="20"/>
    </w:rPr>
  </w:style>
  <w:style w:type="character" w:styleId="Textedelespacerserv">
    <w:name w:val="Placeholder Text"/>
    <w:basedOn w:val="Policepardfaut"/>
    <w:uiPriority w:val="99"/>
    <w:semiHidden/>
    <w:rsid w:val="00187C18"/>
    <w:rPr>
      <w:color w:val="808080"/>
    </w:rPr>
  </w:style>
  <w:style w:type="paragraph" w:styleId="Sansinterligne">
    <w:name w:val="No Spacing"/>
    <w:link w:val="SansinterligneCar"/>
    <w:uiPriority w:val="1"/>
    <w:qFormat/>
    <w:rsid w:val="00835378"/>
    <w:pPr>
      <w:spacing w:after="0" w:line="240" w:lineRule="auto"/>
      <w:jc w:val="both"/>
    </w:pPr>
    <w:rPr>
      <w:rFonts w:ascii="Arial" w:eastAsiaTheme="minorEastAsia" w:hAnsi="Arial"/>
      <w:sz w:val="20"/>
      <w:lang w:val="fr-FR"/>
    </w:rPr>
  </w:style>
  <w:style w:type="character" w:customStyle="1" w:styleId="SansinterligneCar">
    <w:name w:val="Sans interligne Car"/>
    <w:basedOn w:val="Policepardfaut"/>
    <w:link w:val="Sansinterligne"/>
    <w:uiPriority w:val="1"/>
    <w:rsid w:val="00835378"/>
    <w:rPr>
      <w:rFonts w:ascii="Arial" w:eastAsiaTheme="minorEastAsia" w:hAnsi="Arial"/>
      <w:sz w:val="20"/>
      <w:lang w:val="fr-FR"/>
    </w:rPr>
  </w:style>
  <w:style w:type="character" w:styleId="Marquedecommentaire">
    <w:name w:val="annotation reference"/>
    <w:basedOn w:val="Policepardfaut"/>
    <w:uiPriority w:val="99"/>
    <w:semiHidden/>
    <w:unhideWhenUsed/>
    <w:rsid w:val="00BC1925"/>
    <w:rPr>
      <w:sz w:val="16"/>
      <w:szCs w:val="16"/>
    </w:rPr>
  </w:style>
  <w:style w:type="paragraph" w:styleId="Commentaire">
    <w:name w:val="annotation text"/>
    <w:basedOn w:val="Normal"/>
    <w:link w:val="CommentaireCar"/>
    <w:uiPriority w:val="99"/>
    <w:semiHidden/>
    <w:unhideWhenUsed/>
    <w:rsid w:val="00BC1925"/>
    <w:pPr>
      <w:spacing w:line="240" w:lineRule="auto"/>
    </w:pPr>
    <w:rPr>
      <w:szCs w:val="20"/>
    </w:rPr>
  </w:style>
  <w:style w:type="character" w:customStyle="1" w:styleId="CommentaireCar">
    <w:name w:val="Commentaire Car"/>
    <w:basedOn w:val="Policepardfaut"/>
    <w:link w:val="Commentaire"/>
    <w:uiPriority w:val="99"/>
    <w:semiHidden/>
    <w:rsid w:val="00BC192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C1925"/>
    <w:rPr>
      <w:b/>
      <w:bCs/>
    </w:rPr>
  </w:style>
  <w:style w:type="character" w:customStyle="1" w:styleId="ObjetducommentaireCar">
    <w:name w:val="Objet du commentaire Car"/>
    <w:basedOn w:val="CommentaireCar"/>
    <w:link w:val="Objetducommentaire"/>
    <w:uiPriority w:val="99"/>
    <w:semiHidden/>
    <w:rsid w:val="00BC1925"/>
    <w:rPr>
      <w:rFonts w:ascii="Arial" w:hAnsi="Arial"/>
      <w:b/>
      <w:bCs/>
      <w:sz w:val="20"/>
      <w:szCs w:val="20"/>
    </w:rPr>
  </w:style>
  <w:style w:type="paragraph" w:customStyle="1" w:styleId="Letterbody">
    <w:name w:val="Letter_body"/>
    <w:basedOn w:val="Normal"/>
    <w:rsid w:val="00CD7A0A"/>
    <w:pPr>
      <w:spacing w:after="0" w:line="220" w:lineRule="exact"/>
      <w:jc w:val="left"/>
    </w:pPr>
    <w:rPr>
      <w:rFonts w:eastAsia="Times New Roman" w:cs="Times New Roman"/>
      <w:szCs w:val="24"/>
      <w:lang w:val="en-US"/>
    </w:rPr>
  </w:style>
  <w:style w:type="paragraph" w:styleId="Notedebasdepage">
    <w:name w:val="footnote text"/>
    <w:basedOn w:val="Normal"/>
    <w:link w:val="NotedebasdepageCar"/>
    <w:uiPriority w:val="99"/>
    <w:semiHidden/>
    <w:unhideWhenUsed/>
    <w:rsid w:val="00547C58"/>
    <w:pPr>
      <w:spacing w:after="0" w:line="240" w:lineRule="auto"/>
    </w:pPr>
    <w:rPr>
      <w:szCs w:val="20"/>
    </w:rPr>
  </w:style>
  <w:style w:type="character" w:customStyle="1" w:styleId="NotedebasdepageCar">
    <w:name w:val="Note de bas de page Car"/>
    <w:basedOn w:val="Policepardfaut"/>
    <w:link w:val="Notedebasdepage"/>
    <w:uiPriority w:val="99"/>
    <w:semiHidden/>
    <w:rsid w:val="00547C58"/>
    <w:rPr>
      <w:rFonts w:ascii="Arial" w:hAnsi="Arial"/>
      <w:sz w:val="20"/>
      <w:szCs w:val="20"/>
    </w:rPr>
  </w:style>
  <w:style w:type="character" w:styleId="Appelnotedebasdep">
    <w:name w:val="footnote reference"/>
    <w:basedOn w:val="Policepardfaut"/>
    <w:uiPriority w:val="99"/>
    <w:semiHidden/>
    <w:unhideWhenUsed/>
    <w:rsid w:val="00547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DU\Charte\Papeterie-papierwaren\Word\FR\Lettre\Activity\Couleur\BL-FR-lettre-Couleu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CR" ma:contentTypeID="0x0101006F9819B610F4944288E9B91C6E88FE430087BE7ADE76098942B2EB05938BF0E28A" ma:contentTypeVersion="30" ma:contentTypeDescription="Bruxelles Logement - Cellule Réhabilitation" ma:contentTypeScope="" ma:versionID="9d0db1174f3a9b42ae8d6b0194c6b739">
  <xsd:schema xmlns:xsd="http://www.w3.org/2001/XMLSchema" xmlns:xs="http://www.w3.org/2001/XMLSchema" xmlns:p="http://schemas.microsoft.com/office/2006/metadata/properties" xmlns:ns1="http://schemas.microsoft.com/sharepoint/v3" xmlns:ns2="41d15e97-c252-4ae5-8ac2-d90c6513188b" xmlns:ns3="61fbebd1-fbf2-4709-bbf0-121f95ef2115" targetNamespace="http://schemas.microsoft.com/office/2006/metadata/properties" ma:root="true" ma:fieldsID="285a2128b1b46bd04a5e6b25cccc9609" ns1:_="" ns2:_="" ns3:_="">
    <xsd:import namespace="http://schemas.microsoft.com/sharepoint/v3"/>
    <xsd:import namespace="41d15e97-c252-4ae5-8ac2-d90c6513188b"/>
    <xsd:import namespace="61fbebd1-fbf2-4709-bbf0-121f95ef2115"/>
    <xsd:element name="properties">
      <xsd:complexType>
        <xsd:sequence>
          <xsd:element name="documentManagement">
            <xsd:complexType>
              <xsd:all>
                <xsd:element ref="ns2:metadonnees" minOccurs="0"/>
                <xsd:element ref="ns1:AssignedTo" minOccurs="0"/>
                <xsd:element ref="ns2:typeDocu" minOccurs="0"/>
                <xsd:element ref="ns2:TypeDocument" minOccurs="0"/>
                <xsd:element ref="ns2:Gestionnaire_x0020_de_x0020_dossier" minOccurs="0"/>
                <xsd:element ref="ns2:Langue_x0020_Dossier" minOccurs="0"/>
                <xsd:element ref="ns2:TypeTemplate" minOccurs="0"/>
                <xsd:element ref="ns2:Typetemplate" minOccurs="0"/>
                <xsd:element ref="ns2:Répertoire" minOccurs="0"/>
                <xsd:element ref="ns3:MediaServiceMetadata" minOccurs="0"/>
                <xsd:element ref="ns3:MediaServiceFastMetadata" minOccurs="0"/>
                <xsd:element ref="ns2:SharedWithUsers" minOccurs="0"/>
                <xsd:element ref="ns2:SharedWithDetails" minOccurs="0"/>
                <xsd:element ref="ns2:b0512918590b4c9e9bc3aacb58ca1e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é à" ma:list="UserInfo" ma:SearchPeopleOnly="false" ma:SharePointGroup="5"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metadonnees" ma:index="8" nillable="true" ma:displayName="metadonnees" ma:default="1" ma:internalName="metadonnees">
      <xsd:simpleType>
        <xsd:restriction base="dms:Boolean"/>
      </xsd:simpleType>
    </xsd:element>
    <xsd:element name="typeDocu" ma:index="10" nillable="true" ma:displayName="Type Docu Principal" ma:description="Type principal du document: Template, PV, Docu, ..." ma:format="Dropdown" ma:internalName="typeDocu">
      <xsd:simpleType>
        <xsd:restriction base="dms:Choice">
          <xsd:enumeration value="PV"/>
          <xsd:enumeration value="Template"/>
          <xsd:enumeration value="Courrier"/>
          <xsd:enumeration value="Documentation"/>
        </xsd:restriction>
      </xsd:simpleType>
    </xsd:element>
    <xsd:element name="TypeDocument" ma:index="11" nillable="true" ma:displayName="Type de document" ma:description="Type de document" ma:format="Dropdown" ma:internalName="TypeDocument">
      <xsd:simpleType>
        <xsd:union memberTypes="dms:Text">
          <xsd:simpleType>
            <xsd:restriction base="dms:Choice">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Administratif"/>
              <xsd:enumeration value="Plans"/>
              <xsd:enumeration value="Photo"/>
            </xsd:restriction>
          </xsd:simpleType>
        </xsd:union>
      </xsd:simpleType>
    </xsd:element>
    <xsd:element name="Gestionnaire_x0020_de_x0020_dossier" ma:index="12" nillable="true" ma:displayName="Gestionnaire de dossier" ma:description="Gestionnaire de dossiers" ma:indexed="true" ma:list="UserInfo" ma:SharePointGroup="5" ma:internalName="Gestionnaire_x0020_de_x0020_doss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e_x0020_Dossier" ma:index="13" nillable="true" ma:displayName="Langue" ma:default="FR" ma:description="Langue" ma:format="Dropdown" ma:internalName="Langue_x0020_Dossier">
      <xsd:simpleType>
        <xsd:restriction base="dms:Choice">
          <xsd:enumeration value="FR"/>
          <xsd:enumeration value="NL"/>
        </xsd:restriction>
      </xsd:simpleType>
    </xsd:element>
    <xsd:element name="TypeTemplate" ma:index="14" nillable="true" ma:displayName="TypeTemplate" ma:default="" ma:description="Précise le type de template" ma:internalName="TypeTemplate">
      <xsd:simpleType>
        <xsd:restriction base="dms:Text">
          <xsd:maxLength value="255"/>
        </xsd:restriction>
      </xsd:simpleType>
    </xsd:element>
    <xsd:element name="Typetemplate" ma:index="15" nillable="true" ma:displayName="Thème" ma:description="Précise le type de template" ma:format="Dropdown" ma:internalName="Typetemplate0">
      <xsd:simpleType>
        <xsd:union memberTypes="dms:Text">
          <xsd:simpleType>
            <xsd:restriction base="dms:Choice">
              <xsd:enumeration value="DGP Analyse"/>
              <xsd:enumeration value="DGP Visite"/>
              <xsd:enumeration value="DGP Études préliminaires"/>
              <xsd:enumeration value="DGP Prise en gestion"/>
              <xsd:enumeration value="DGP Rénovation"/>
              <xsd:enumeration value="DGP Location"/>
              <xsd:enumeration value="DGP Fin de gestion"/>
              <xsd:enumeration value="Prêt procédure"/>
              <xsd:enumeration value="Prêt engagement"/>
              <xsd:enumeration value="Prêt déroulement clôture"/>
              <xsd:enumeration value="Rétrocession amende"/>
            </xsd:restriction>
          </xsd:simpleType>
        </xsd:union>
      </xsd:simpleType>
    </xsd:element>
    <xsd:element name="Répertoire" ma:index="16" nillable="true" ma:displayName="Répertoire" ma:format="Dropdown" ma:internalName="R_x00e9_pertoire">
      <xsd:simpleType>
        <xsd:union memberTypes="dms:Text">
          <xsd:simpleType>
            <xsd:restriction base="dms:Choice">
              <xsd:enumeration value="ACTION EN CESSATION"/>
              <xsd:enumeration value="COM.INTERNE"/>
              <xsd:enumeration value="COM.EXTERNE"/>
              <xsd:enumeration value="DOCUMENTATION"/>
              <xsd:enumeration value="DOC TYPE"/>
              <xsd:enumeration value="DOC DGP"/>
              <xsd:enumeration value="RETROCESSION"/>
              <xsd:enumeration value="INV.COMMUNAL"/>
              <xsd:enumeration value="TEMPLATE"/>
              <xsd:enumeration value="DOSSIER LEGISLATIF"/>
            </xsd:restriction>
          </xsd:simpleType>
        </xsd:unio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b0512918590b4c9e9bc3aacb58ca1e32" ma:index="21" nillable="true" ma:taxonomy="true" ma:internalName="b0512918590b4c9e9bc3aacb58ca1e32" ma:taxonomyFieldName="Cellule" ma:displayName="Cellule" ma:default="" ma:fieldId="{b0512918-590b-4c9e-9bc3-aacb58ca1e32}" ma:sspId="57b2d657-d973-4862-aa1b-1284b69771fd" ma:termSetId="0b729e50-b525-4bc0-92cf-51544c25722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5caf504-5c95-4c26-9d00-ae54a8cf2a5e}"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caf504-5c95-4c26-9d00-ae54a8cf2a5e}" ma:internalName="TaxCatchAllLabel" ma:readOnly="true" ma:showField="CatchAllDataLabel" ma:web="41d15e97-c252-4ae5-8ac2-d90c65131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bebd1-fbf2-4709-bbf0-121f95ef211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eur"/>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ypetemplate xmlns="41d15e97-c252-4ae5-8ac2-d90c6513188b">DGP Prise en gestion</Typetemplate>
    <typeDocu xmlns="41d15e97-c252-4ae5-8ac2-d90c6513188b">Template</typeDocu>
    <b0512918590b4c9e9bc3aacb58ca1e32 xmlns="41d15e97-c252-4ae5-8ac2-d90c6513188b">
      <Terms xmlns="http://schemas.microsoft.com/office/infopath/2007/PartnerControls"/>
    </b0512918590b4c9e9bc3aacb58ca1e32>
    <TaxCatchAll xmlns="41d15e97-c252-4ae5-8ac2-d90c6513188b" xsi:nil="true"/>
    <AssignedTo xmlns="http://schemas.microsoft.com/sharepoint/v3">
      <UserInfo>
        <DisplayName/>
        <AccountId xsi:nil="true"/>
        <AccountType/>
      </UserInfo>
    </AssignedTo>
    <TypeTemplate xmlns="41d15e97-c252-4ae5-8ac2-d90c6513188b" xsi:nil="true"/>
    <Gestionnaire_x0020_de_x0020_dossier xmlns="41d15e97-c252-4ae5-8ac2-d90c6513188b">
      <UserInfo>
        <DisplayName/>
        <AccountId xsi:nil="true"/>
        <AccountType/>
      </UserInfo>
    </Gestionnaire_x0020_de_x0020_dossier>
    <TypeDocument xmlns="41d15e97-c252-4ae5-8ac2-d90c6513188b" xsi:nil="true"/>
    <metadonnees xmlns="41d15e97-c252-4ae5-8ac2-d90c6513188b">true</metadonnees>
    <Répertoire xmlns="41d15e97-c252-4ae5-8ac2-d90c6513188b" xsi:nil="true"/>
    <Langue_x0020_Dossier xmlns="41d15e97-c252-4ae5-8ac2-d90c6513188b">FR</Langue_x0020_Dossi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95D29-A78F-4B60-8FBA-16DABCAEF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15e97-c252-4ae5-8ac2-d90c6513188b"/>
    <ds:schemaRef ds:uri="61fbebd1-fbf2-4709-bbf0-121f95ef2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3D27A-DEDA-457A-880F-F8945275E5AD}">
  <ds:schemaRefs>
    <ds:schemaRef ds:uri="http://schemas.openxmlformats.org/officeDocument/2006/bibliography"/>
  </ds:schemaRefs>
</ds:datastoreItem>
</file>

<file path=customXml/itemProps3.xml><?xml version="1.0" encoding="utf-8"?>
<ds:datastoreItem xmlns:ds="http://schemas.openxmlformats.org/officeDocument/2006/customXml" ds:itemID="{BB5C1383-4EC8-4EF7-A895-FDE7032CC954}">
  <ds:schemaRefs>
    <ds:schemaRef ds:uri="http://schemas.microsoft.com/office/2006/metadata/properties"/>
    <ds:schemaRef ds:uri="http://schemas.microsoft.com/office/infopath/2007/PartnerControls"/>
    <ds:schemaRef ds:uri="41d15e97-c252-4ae5-8ac2-d90c6513188b"/>
    <ds:schemaRef ds:uri="http://schemas.microsoft.com/sharepoint/v3"/>
  </ds:schemaRefs>
</ds:datastoreItem>
</file>

<file path=customXml/itemProps4.xml><?xml version="1.0" encoding="utf-8"?>
<ds:datastoreItem xmlns:ds="http://schemas.openxmlformats.org/officeDocument/2006/customXml" ds:itemID="{97A0D1DA-A003-4392-B297-1C2E3B5C0DC5}">
  <ds:schemaRefs>
    <ds:schemaRef ds:uri="http://schemas.microsoft.com/sharepoint/v3/contenttype/forms"/>
  </ds:schemaRefs>
</ds:datastoreItem>
</file>

<file path=docMetadata/LabelInfo.xml><?xml version="1.0" encoding="utf-8"?>
<clbl:labelList xmlns:clbl="http://schemas.microsoft.com/office/2020/mipLabelMetadata">
  <clbl:label id="{ced44389-4aca-4731-8803-68c42c7d08bb}" enabled="1" method="Privilege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BL-FR-lettre-Couleur.dotx</Template>
  <TotalTime>6</TotalTime>
  <Pages>4</Pages>
  <Words>1502</Words>
  <Characters>8265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BL-FR-Lettre-couleur</vt:lpstr>
    </vt:vector>
  </TitlesOfParts>
  <Company>Microsoft</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BL-FR-Lettre-couleur</dc:title>
  <dc:creator>OBLIN Sophie</dc:creator>
  <cp:lastModifiedBy>BISMUTH Hervé</cp:lastModifiedBy>
  <cp:revision>4</cp:revision>
  <cp:lastPrinted>2014-12-30T23:49:00Z</cp:lastPrinted>
  <dcterms:created xsi:type="dcterms:W3CDTF">2023-02-22T10:03:00Z</dcterms:created>
  <dcterms:modified xsi:type="dcterms:W3CDTF">2023-03-01T14:33:00Z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0x0101006F9819B610F4944288E9B91C6E88FE430087BE7ADE76098942B2EB05938BF0E28A</vt:lpwstr>
  </property>
  <property fmtid="{D5CDD505-2E9C-101B-9397-08002B2CF9AE}" pid="3" name="Marquage spécifique">
    <vt:lpwstr/>
  </property>
  <property fmtid="{D5CDD505-2E9C-101B-9397-08002B2CF9AE}" pid="4" name="Mot-clé">
    <vt:lpwstr>2;#Zonder|9ddd5344-b9bc-42e1-8508-7ded4cc539e9</vt:lpwstr>
  </property>
  <property fmtid="{D5CDD505-2E9C-101B-9397-08002B2CF9AE}" pid="5" name="Orientation1">
    <vt:lpwstr/>
  </property>
  <property fmtid="{D5CDD505-2E9C-101B-9397-08002B2CF9AE}" pid="6" name="TaxKeyword">
    <vt:lpwstr/>
  </property>
  <property fmtid="{D5CDD505-2E9C-101B-9397-08002B2CF9AE}" pid="7" name="Type de document">
    <vt:lpwstr>9;#Template Lettre|f42dfc70-a12b-4738-adf7-89fe5ffb3e26</vt:lpwstr>
  </property>
  <property fmtid="{D5CDD505-2E9C-101B-9397-08002B2CF9AE}" pid="8" name="Utilisation1">
    <vt:lpwstr/>
  </property>
  <property fmtid="{D5CDD505-2E9C-101B-9397-08002B2CF9AE}" pid="9" name="_ExtendedDescription">
    <vt:lpwstr/>
  </property>
  <property fmtid="{D5CDD505-2E9C-101B-9397-08002B2CF9AE}" pid="10" name="Cellule">
    <vt:lpwstr/>
  </property>
</Properties>
</file>